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1459-424b7_circle8.htm"/>
      <w:bookmarkStart w:id="1" w:name="ksea0301459424b7_circle8"/>
      <w:bookmarkStart w:id="2" w:name="ea0301459-424b7_circle8.htm"/>
      <w:bookmarkStart w:id="3" w:name="ksea0301459424b7_circle8"/>
      <w:bookmarkEnd w:id="2"/>
      <w:bookmarkEnd w:id="3"/>
    </w:p>
    <w:tbl>
      <w:tblPr>
        <w:tblW w:w="7450" w:type="dxa"/>
        <w:jc w:val="left"/>
        <w:tblInd w:w="0" w:type="dxa"/>
        <w:tblLayout w:type="fixed"/>
        <w:tblCellMar>
          <w:top w:w="0" w:type="dxa"/>
          <w:left w:w="0" w:type="dxa"/>
          <w:bottom w:w="0" w:type="dxa"/>
          <w:right w:w="0" w:type="dxa"/>
        </w:tblCellMar>
      </w:tblPr>
      <w:tblGrid>
        <w:gridCol w:w="4100"/>
        <w:gridCol w:w="3350"/>
      </w:tblGrid>
      <w:tr>
        <w:trPr/>
        <w:tc>
          <w:tcPr>
            <w:tcW w:w="4100" w:type="dxa"/>
            <w:tcBorders/>
            <w:vAlign w:val="center"/>
          </w:tcPr>
          <w:p>
            <w:pPr>
              <w:pStyle w:val="TableContents"/>
              <w:bidi w:val="0"/>
              <w:spacing w:before="0" w:after="283"/>
              <w:jc w:val="left"/>
              <w:rPr>
                <w:b/>
              </w:rPr>
            </w:pPr>
            <w:r>
              <w:rPr>
                <w:b/>
              </w:rPr>
              <w:t>PROSPECTUS SUPPLEMENT</w:t>
            </w:r>
          </w:p>
        </w:tc>
        <w:tc>
          <w:tcPr>
            <w:tcW w:w="3350" w:type="dxa"/>
            <w:tcBorders/>
            <w:vAlign w:val="center"/>
          </w:tcPr>
          <w:p>
            <w:pPr>
              <w:pStyle w:val="TableContents"/>
              <w:bidi w:val="0"/>
              <w:spacing w:before="0" w:after="283"/>
              <w:jc w:val="right"/>
              <w:rPr>
                <w:b/>
                <w:sz w:val="20"/>
              </w:rPr>
            </w:pPr>
            <w:r>
              <w:rPr>
                <w:b/>
                <w:sz w:val="20"/>
              </w:rPr>
              <w:t>Filed Pursuant to Rule 424(b)(7)</w:t>
            </w:r>
          </w:p>
        </w:tc>
      </w:tr>
      <w:tr>
        <w:trPr/>
        <w:tc>
          <w:tcPr>
            <w:tcW w:w="4100" w:type="dxa"/>
            <w:tcBorders/>
            <w:vAlign w:val="center"/>
          </w:tcPr>
          <w:p>
            <w:pPr>
              <w:pStyle w:val="TableContents"/>
              <w:bidi w:val="0"/>
              <w:spacing w:before="0" w:after="283"/>
              <w:jc w:val="left"/>
              <w:rPr>
                <w:b/>
              </w:rPr>
            </w:pPr>
            <w:r>
              <w:rPr>
                <w:b/>
              </w:rPr>
              <w:t>To prospectus dated December 15, 2025</w:t>
            </w:r>
          </w:p>
        </w:tc>
        <w:tc>
          <w:tcPr>
            <w:tcW w:w="3350" w:type="dxa"/>
            <w:tcBorders/>
            <w:vAlign w:val="center"/>
          </w:tcPr>
          <w:p>
            <w:pPr>
              <w:pStyle w:val="TableContents"/>
              <w:bidi w:val="0"/>
              <w:spacing w:before="0" w:after="283"/>
              <w:jc w:val="right"/>
              <w:rPr>
                <w:b/>
                <w:sz w:val="20"/>
              </w:rPr>
            </w:pPr>
            <w:r>
              <w:rPr>
                <w:b/>
                <w:sz w:val="20"/>
              </w:rPr>
              <w:t>Registration Statement No. 333-291991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21,983,926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supplement relates to the offering of 21,983,926 </w:t>
      </w:r>
      <w:r>
        <w:rPr>
          <w:rFonts w:ascii="Times New Roman;Times;Serif" w:hAnsi="Times New Roman;Times;Serif"/>
          <w:b w:val="false"/>
          <w:i w:val="false"/>
          <w:caps w:val="false"/>
          <w:smallCaps w:val="false"/>
          <w:sz w:val="20"/>
          <w:shd w:fill="FFFFFF" w:val="clear"/>
        </w:rPr>
        <w:t xml:space="preserve">shares (the “Shares”) of Common Stock, par value $0.00001 per share (“Common Stock”) of Circle8 Group, Inc., a Delaware corporation (the “Company”) to </w:t>
      </w:r>
      <w:r>
        <w:rPr>
          <w:rFonts w:ascii="Times New Roman;Times;Serif" w:hAnsi="Times New Roman;Times;Serif"/>
          <w:b w:val="false"/>
          <w:i w:val="false"/>
          <w:caps w:val="false"/>
          <w:smallCaps w:val="false"/>
          <w:sz w:val="20"/>
        </w:rPr>
        <w:t>SPP Credit Advisors, LLC or its permitted transferees (the “Selling Stockholder”)</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The shares of Common Stock offered hereby </w:t>
      </w:r>
      <w:r>
        <w:rPr>
          <w:rFonts w:ascii="Times New Roman;Times;Serif" w:hAnsi="Times New Roman;Times;Serif"/>
          <w:b w:val="false"/>
          <w:i w:val="false"/>
          <w:caps w:val="false"/>
          <w:smallCaps w:val="false"/>
          <w:sz w:val="20"/>
          <w:shd w:fill="FFFFFF" w:val="clear"/>
        </w:rPr>
        <w:t>(the “Shares) are being issued to the Stockholder pursuant to the applicable terms of the litigation Settlement Agreement, dated August 7, 2026, described below. The Selling Stockholder granted the Company an irrevocable call option to acquire, for nominal consideration, the currently issued and outstanding 21,983,926 shares beneficially owned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shares of our Common Stock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“CIRC.” On August 11, 2026, the last reported sale price prior to the date of this prospectus supplement, of the Common Stock on the Nasdaq Global Market was $0.7488.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supplement, as well as the documents incorporated or deemed to be incorporated by reference herein or therein, before you purchase any of our securities. Other than the Stockholder, there are no underwriters, dealers and agents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is highly speculative and involves a high degree of risk. You should carefully read and consider the “Risk Factors” beginning on page S-5 of this prospectus supplement before investing.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12</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825"/>
        <w:gridCol w:w="455"/>
      </w:tblGrid>
      <w:tr>
        <w:trPr/>
        <w:tc>
          <w:tcPr>
            <w:tcW w:w="2825" w:type="dxa"/>
            <w:tcBorders/>
            <w:vAlign w:val="center"/>
          </w:tcPr>
          <w:p>
            <w:pPr>
              <w:pStyle w:val="TableContents"/>
              <w:bidi w:val="0"/>
              <w:spacing w:before="0" w:after="283"/>
              <w:ind w:left="0" w:right="0" w:hanging="266"/>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266"/>
              <w:jc w:val="center"/>
              <w:rPr>
                <w:rFonts w:ascii="Times New Roman;Times;Serif" w:hAnsi="Times New Roman;Times;Serif"/>
                <w:b/>
                <w:sz w:val="20"/>
              </w:rPr>
            </w:pPr>
            <w:r>
              <w:rPr>
                <w:rFonts w:ascii="Times New Roman;Times;Serif" w:hAnsi="Times New Roman;Times;Serif"/>
                <w:b/>
                <w:sz w:val="20"/>
              </w:rPr>
              <w:t>Page</w:t>
            </w:r>
          </w:p>
        </w:tc>
      </w:tr>
      <w:tr>
        <w:trPr/>
        <w:tc>
          <w:tcPr>
            <w:tcW w:w="282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 Supplement</w:t>
              </w:r>
            </w:hyperlink>
          </w:p>
        </w:tc>
        <w:tc>
          <w:tcPr>
            <w:tcW w:w="455" w:type="dxa"/>
            <w:tcBorders/>
            <w:shd w:fill="CCEEFF" w:val="clear"/>
            <w:vAlign w:val="center"/>
          </w:tcPr>
          <w:p>
            <w:pPr>
              <w:pStyle w:val="TableContents"/>
              <w:bidi w:val="0"/>
              <w:spacing w:before="0" w:after="283"/>
              <w:ind w:left="0" w:right="0" w:hanging="266"/>
              <w:jc w:val="center"/>
              <w:rPr/>
            </w:pPr>
            <w:r>
              <w:rPr/>
              <w:t>S-ii </w:t>
            </w:r>
          </w:p>
        </w:tc>
      </w:tr>
      <w:tr>
        <w:trPr/>
        <w:tc>
          <w:tcPr>
            <w:tcW w:w="282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ind w:left="0" w:right="0" w:hanging="266"/>
              <w:jc w:val="center"/>
              <w:rPr/>
            </w:pPr>
            <w:r>
              <w:rPr/>
              <w:t>S-1</w:t>
            </w:r>
          </w:p>
        </w:tc>
      </w:tr>
      <w:tr>
        <w:trPr/>
        <w:tc>
          <w:tcPr>
            <w:tcW w:w="282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Selling Stockholder</w:t>
              </w:r>
            </w:hyperlink>
          </w:p>
        </w:tc>
        <w:tc>
          <w:tcPr>
            <w:tcW w:w="455" w:type="dxa"/>
            <w:tcBorders/>
            <w:shd w:fill="CCEEFF" w:val="clear"/>
            <w:vAlign w:val="center"/>
          </w:tcPr>
          <w:p>
            <w:pPr>
              <w:pStyle w:val="TableContents"/>
              <w:bidi w:val="0"/>
              <w:spacing w:before="0" w:after="283"/>
              <w:ind w:left="0" w:right="0" w:hanging="266"/>
              <w:jc w:val="center"/>
              <w:rPr/>
            </w:pPr>
            <w:r>
              <w:rPr/>
              <w:t>S-1</w:t>
            </w:r>
          </w:p>
        </w:tc>
      </w:tr>
      <w:tr>
        <w:trPr/>
        <w:tc>
          <w:tcPr>
            <w:tcW w:w="282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pPr>
            <w:r>
              <w:rPr/>
              <w:t>S-2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5555"/>
        <w:gridCol w:w="275"/>
      </w:tblGrid>
      <w:tr>
        <w:trPr/>
        <w:tc>
          <w:tcPr>
            <w:tcW w:w="555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r>
      <w:tr>
        <w:trPr/>
        <w:tc>
          <w:tcPr>
            <w:tcW w:w="555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55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Where You Can Find More Information: Incorporation by Reference</w:t>
              </w:r>
            </w:hyperlink>
          </w:p>
        </w:tc>
        <w:tc>
          <w:tcPr>
            <w:tcW w:w="275" w:type="dxa"/>
            <w:tcBorders/>
            <w:shd w:fill="CCEEFF" w:val="clear"/>
            <w:vAlign w:val="center"/>
          </w:tcPr>
          <w:p>
            <w:pPr>
              <w:pStyle w:val="TableContents"/>
              <w:bidi w:val="0"/>
              <w:spacing w:before="0" w:after="283"/>
              <w:jc w:val="center"/>
              <w:rPr/>
            </w:pPr>
            <w:r>
              <w:rPr/>
              <w:t>4</w:t>
            </w:r>
          </w:p>
        </w:tc>
      </w:tr>
      <w:tr>
        <w:trPr/>
        <w:tc>
          <w:tcPr>
            <w:tcW w:w="555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Note Regarding Forward-Looking Statements</w:t>
              </w:r>
            </w:hyperlink>
          </w:p>
        </w:tc>
        <w:tc>
          <w:tcPr>
            <w:tcW w:w="275" w:type="dxa"/>
            <w:tcBorders/>
            <w:shd w:fill="FFFFFF" w:val="clear"/>
            <w:vAlign w:val="center"/>
          </w:tcPr>
          <w:p>
            <w:pPr>
              <w:pStyle w:val="TableContents"/>
              <w:bidi w:val="0"/>
              <w:spacing w:before="0" w:after="283"/>
              <w:jc w:val="center"/>
              <w:rPr/>
            </w:pPr>
            <w:r>
              <w:rPr/>
              <w:t>5</w:t>
            </w:r>
          </w:p>
        </w:tc>
      </w:tr>
      <w:tr>
        <w:trPr/>
        <w:tc>
          <w:tcPr>
            <w:tcW w:w="555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bidi w:val="0"/>
              <w:spacing w:before="0" w:after="283"/>
              <w:jc w:val="center"/>
              <w:rPr/>
            </w:pPr>
            <w:r>
              <w:rPr/>
              <w:t>6</w:t>
            </w:r>
          </w:p>
        </w:tc>
      </w:tr>
      <w:tr>
        <w:trPr/>
        <w:tc>
          <w:tcPr>
            <w:tcW w:w="555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275" w:type="dxa"/>
            <w:tcBorders/>
            <w:shd w:fill="FFFFFF" w:val="clear"/>
            <w:vAlign w:val="center"/>
          </w:tcPr>
          <w:p>
            <w:pPr>
              <w:pStyle w:val="TableContents"/>
              <w:bidi w:val="0"/>
              <w:spacing w:before="0" w:after="283"/>
              <w:jc w:val="center"/>
              <w:rPr/>
            </w:pPr>
            <w:r>
              <w:rPr/>
              <w:t>15</w:t>
            </w:r>
          </w:p>
        </w:tc>
      </w:tr>
      <w:tr>
        <w:trPr/>
        <w:tc>
          <w:tcPr>
            <w:tcW w:w="5555" w:type="dxa"/>
            <w:tcBorders/>
            <w:shd w:fill="CCEEFF" w:val="clear"/>
            <w:vAlign w:val="center"/>
          </w:tcPr>
          <w:p>
            <w:pPr>
              <w:pStyle w:val="TableContents"/>
              <w:bidi w:val="0"/>
              <w:spacing w:before="0" w:after="283"/>
              <w:jc w:val="left"/>
              <w:rPr/>
            </w:pPr>
            <w:hyperlink w:anchor="a_007">
              <w:r>
                <w:rPr>
                  <w:rStyle w:val="InternetLink"/>
                </w:rPr>
                <w:t>Market Price of Our Common Stock</w:t>
              </w:r>
            </w:hyperlink>
          </w:p>
        </w:tc>
        <w:tc>
          <w:tcPr>
            <w:tcW w:w="275" w:type="dxa"/>
            <w:tcBorders/>
            <w:shd w:fill="CCEEFF" w:val="clear"/>
            <w:vAlign w:val="center"/>
          </w:tcPr>
          <w:p>
            <w:pPr>
              <w:pStyle w:val="TableContents"/>
              <w:bidi w:val="0"/>
              <w:spacing w:before="0" w:after="283"/>
              <w:jc w:val="center"/>
              <w:rPr/>
            </w:pPr>
            <w:r>
              <w:rPr/>
              <w:t>15</w:t>
            </w:r>
          </w:p>
        </w:tc>
      </w:tr>
      <w:tr>
        <w:trPr/>
        <w:tc>
          <w:tcPr>
            <w:tcW w:w="5555" w:type="dxa"/>
            <w:tcBorders/>
            <w:shd w:fill="FFFFFF" w:val="clear"/>
            <w:vAlign w:val="center"/>
          </w:tcPr>
          <w:p>
            <w:pPr>
              <w:pStyle w:val="TableContents"/>
              <w:bidi w:val="0"/>
              <w:spacing w:before="0" w:after="283"/>
              <w:jc w:val="left"/>
              <w:rPr/>
            </w:pPr>
            <w:hyperlink w:anchor="a_017">
              <w:r>
                <w:rPr>
                  <w:rStyle w:val="InternetLink"/>
                </w:rPr>
                <w:t>Description of Securities</w:t>
              </w:r>
            </w:hyperlink>
          </w:p>
        </w:tc>
        <w:tc>
          <w:tcPr>
            <w:tcW w:w="275" w:type="dxa"/>
            <w:tcBorders/>
            <w:shd w:fill="FFFFFF" w:val="clear"/>
            <w:vAlign w:val="center"/>
          </w:tcPr>
          <w:p>
            <w:pPr>
              <w:pStyle w:val="TableContents"/>
              <w:bidi w:val="0"/>
              <w:spacing w:before="0" w:after="283"/>
              <w:jc w:val="center"/>
              <w:rPr/>
            </w:pPr>
            <w:r>
              <w:rPr/>
              <w:t>15</w:t>
            </w:r>
          </w:p>
        </w:tc>
      </w:tr>
      <w:tr>
        <w:trPr/>
        <w:tc>
          <w:tcPr>
            <w:tcW w:w="555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Common Stock</w:t>
              </w:r>
            </w:hyperlink>
          </w:p>
        </w:tc>
        <w:tc>
          <w:tcPr>
            <w:tcW w:w="275" w:type="dxa"/>
            <w:tcBorders/>
            <w:shd w:fill="CCEEFF" w:val="clear"/>
            <w:vAlign w:val="center"/>
          </w:tcPr>
          <w:p>
            <w:pPr>
              <w:pStyle w:val="TableContents"/>
              <w:bidi w:val="0"/>
              <w:spacing w:before="0" w:after="283"/>
              <w:jc w:val="center"/>
              <w:rPr/>
            </w:pPr>
            <w:r>
              <w:rPr/>
              <w:t>16</w:t>
            </w:r>
          </w:p>
        </w:tc>
      </w:tr>
      <w:tr>
        <w:trPr/>
        <w:tc>
          <w:tcPr>
            <w:tcW w:w="555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 xml:space="preserve">Description of Preferred Stock </w:t>
              </w:r>
            </w:hyperlink>
          </w:p>
        </w:tc>
        <w:tc>
          <w:tcPr>
            <w:tcW w:w="275" w:type="dxa"/>
            <w:tcBorders/>
            <w:shd w:fill="FFFFFF" w:val="clear"/>
            <w:vAlign w:val="center"/>
          </w:tcPr>
          <w:p>
            <w:pPr>
              <w:pStyle w:val="TableContents"/>
              <w:bidi w:val="0"/>
              <w:spacing w:before="0" w:after="283"/>
              <w:jc w:val="center"/>
              <w:rPr/>
            </w:pPr>
            <w:r>
              <w:rPr/>
              <w:t>17</w:t>
            </w:r>
          </w:p>
        </w:tc>
      </w:tr>
      <w:tr>
        <w:trPr/>
        <w:tc>
          <w:tcPr>
            <w:tcW w:w="5555" w:type="dxa"/>
            <w:tcBorders/>
            <w:shd w:fill="CCEEFF" w:val="clear"/>
            <w:vAlign w:val="center"/>
          </w:tcPr>
          <w:p>
            <w:pPr>
              <w:pStyle w:val="TableContents"/>
              <w:bidi w:val="0"/>
              <w:spacing w:before="0" w:after="283"/>
              <w:jc w:val="left"/>
              <w:rPr/>
            </w:pPr>
            <w:hyperlink w:anchor="a_011">
              <w:r>
                <w:rPr>
                  <w:rStyle w:val="InternetLink"/>
                </w:rPr>
                <w:t>Description of Warrants</w:t>
              </w:r>
            </w:hyperlink>
          </w:p>
        </w:tc>
        <w:tc>
          <w:tcPr>
            <w:tcW w:w="275" w:type="dxa"/>
            <w:tcBorders/>
            <w:shd w:fill="CCEEFF" w:val="clear"/>
            <w:vAlign w:val="center"/>
          </w:tcPr>
          <w:p>
            <w:pPr>
              <w:pStyle w:val="TableContents"/>
              <w:bidi w:val="0"/>
              <w:spacing w:before="0" w:after="283"/>
              <w:jc w:val="center"/>
              <w:rPr/>
            </w:pPr>
            <w:r>
              <w:rPr/>
              <w:t>19</w:t>
            </w:r>
          </w:p>
        </w:tc>
      </w:tr>
      <w:tr>
        <w:trPr/>
        <w:tc>
          <w:tcPr>
            <w:tcW w:w="555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Rights</w:t>
              </w:r>
            </w:hyperlink>
          </w:p>
        </w:tc>
        <w:tc>
          <w:tcPr>
            <w:tcW w:w="275" w:type="dxa"/>
            <w:tcBorders/>
            <w:shd w:fill="FFFFFF" w:val="clear"/>
            <w:vAlign w:val="center"/>
          </w:tcPr>
          <w:p>
            <w:pPr>
              <w:pStyle w:val="TableContents"/>
              <w:bidi w:val="0"/>
              <w:spacing w:before="0" w:after="283"/>
              <w:jc w:val="center"/>
              <w:rPr/>
            </w:pPr>
            <w:r>
              <w:rPr/>
              <w:t>21</w:t>
            </w:r>
          </w:p>
        </w:tc>
      </w:tr>
      <w:tr>
        <w:trPr/>
        <w:tc>
          <w:tcPr>
            <w:tcW w:w="555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Units</w:t>
              </w:r>
            </w:hyperlink>
          </w:p>
        </w:tc>
        <w:tc>
          <w:tcPr>
            <w:tcW w:w="275" w:type="dxa"/>
            <w:tcBorders/>
            <w:shd w:fill="CCEEFF" w:val="clear"/>
            <w:vAlign w:val="center"/>
          </w:tcPr>
          <w:p>
            <w:pPr>
              <w:pStyle w:val="TableContents"/>
              <w:bidi w:val="0"/>
              <w:spacing w:before="0" w:after="283"/>
              <w:jc w:val="center"/>
              <w:rPr/>
            </w:pPr>
            <w:r>
              <w:rPr/>
              <w:t>22</w:t>
            </w:r>
          </w:p>
        </w:tc>
      </w:tr>
      <w:tr>
        <w:trPr/>
        <w:tc>
          <w:tcPr>
            <w:tcW w:w="555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Plan of Distribution</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555" w:type="dxa"/>
            <w:tcBorders/>
            <w:shd w:fill="CCEEFF" w:val="clear"/>
            <w:vAlign w:val="center"/>
          </w:tcPr>
          <w:p>
            <w:pPr>
              <w:pStyle w:val="TableContents"/>
              <w:bidi w:val="0"/>
              <w:spacing w:before="0" w:after="283"/>
              <w:jc w:val="left"/>
              <w:rPr/>
            </w:pPr>
            <w:hyperlink w:anchor="a_014">
              <w:r>
                <w:rPr>
                  <w:rStyle w:val="InternetLink"/>
                </w:rPr>
                <w:t>Dividend Policy</w:t>
              </w:r>
            </w:hyperlink>
          </w:p>
        </w:tc>
        <w:tc>
          <w:tcPr>
            <w:tcW w:w="275" w:type="dxa"/>
            <w:tcBorders/>
            <w:shd w:fill="CCEEFF" w:val="clear"/>
            <w:vAlign w:val="center"/>
          </w:tcPr>
          <w:p>
            <w:pPr>
              <w:pStyle w:val="TableContents"/>
              <w:bidi w:val="0"/>
              <w:spacing w:before="0" w:after="283"/>
              <w:jc w:val="center"/>
              <w:rPr/>
            </w:pPr>
            <w:r>
              <w:rPr/>
              <w:t>26</w:t>
            </w:r>
          </w:p>
        </w:tc>
      </w:tr>
      <w:tr>
        <w:trPr/>
        <w:tc>
          <w:tcPr>
            <w:tcW w:w="555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275" w:type="dxa"/>
            <w:tcBorders/>
            <w:shd w:fill="FFFFFF" w:val="clear"/>
            <w:vAlign w:val="center"/>
          </w:tcPr>
          <w:p>
            <w:pPr>
              <w:pStyle w:val="TableContents"/>
              <w:bidi w:val="0"/>
              <w:spacing w:before="0" w:after="283"/>
              <w:jc w:val="center"/>
              <w:rPr/>
            </w:pPr>
            <w:r>
              <w:rPr/>
              <w:t>26</w:t>
            </w:r>
          </w:p>
        </w:tc>
      </w:tr>
      <w:tr>
        <w:trPr/>
        <w:tc>
          <w:tcPr>
            <w:tcW w:w="555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275" w:type="dxa"/>
            <w:tcBorders/>
            <w:shd w:fill="CCEEFF" w:val="clear"/>
            <w:vAlign w:val="center"/>
          </w:tcPr>
          <w:p>
            <w:pPr>
              <w:pStyle w:val="TableContents"/>
              <w:bidi w:val="0"/>
              <w:spacing w:before="0" w:after="283"/>
              <w:jc w:val="center"/>
              <w:rPr/>
            </w:pPr>
            <w:r>
              <w:rPr/>
              <w:t>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changes in the Company’s affairs have occurred since December 31, 2025, which have not been described in a report on Form 10-Q or Form 8-K filed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1"/>
      <w:bookmarkEnd w:id="4"/>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supplement, the documents incorporated or deemed to be incorporated by reference herein or therein, and any free writing prospectus supplement prepared by us or on our behalf. We have not authorized anyone to provide you with information different than that contained or incorporated by reference into this prospectus supplement and any free writing prospectus supplement that we have authorized for use in connection with this offering (this “Offering”). We take no responsibility for, and can provide no assurance as to the reliability of, any other information that others may give you. You should assume that the information appearing in this prospectus supplement, the documents incorporated by reference herein, and in any free writing prospectus supplement that we have authorized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herein, and any free writing prospectus supplement that we have authorized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should read and consider the information in the documents to which we have referred you in the section of this prospectus supplement entitled “Where You Can Find More Information; Incorporated by Reference” and the sections of the accompanying prospectus entitled “Where You Can Find More Information;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form a part of registration statements on Form S-3 that we filed with the Securities and Exchange Commission (the “Commission”)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to, update or change information contained in the accompanying prospectus. To the extent that any statement we make in this prospectus supplement is inconsistent with the statements made in the prospectus, this prospectus supplement will be deemed to modify or supersede those made in the accompanying prospectus and such documents incorporated by reference herein and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supplement and the offering of the Shares of Common Stock of the Company registered hereby in certain jurisdictions or to certain persons within such jurisdictions may be restricted by law. Persons outside the United States who come into possession of this prospectus supplement must inform themselves about and observe any restrictions relating to the offering of the Shares and the distribution of this prospectus supplement outside of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consider any information in this prospectus supplement or the registration statement of which it forms a part to be investment, legal or tax advice. You should consult your own counsel, accountants and other advisers for legal, tax, business, financial and related advice regarding the purchase of the Shares offered by this prospectus supplement. If the description of the Offering varies between this prospectus supplement and the accompanying Registration Statement, you should rely on the information contained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this prospectus supplement or the context otherwise required, all references to “we,” “us,” “our,” “the Company” and “Circle8 Group” refer to Circle8 Group,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supplement may also contain trademarks, service marks and trade names of third parties, which are the property of their respective owners. Our use or display of third parties’ trademarks, service marks, trade names or products in this prospectus supplement is not intended to, and does not imply a relationship with, or endorsement or sponsorship by us. Solely for convenience, the trademarks, service marks and trade names referred to in this prospectus supplement may appear without the ®, TM or SM symbols, but such references are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2"/>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Settlement Agreement with SPP Credit Advisors, LLC, (the “Selling Stockholder’) pursuant to which, in consideration for amending Atlantic Seller Note (as defined below) and cancellation of IDC shares (as defined below), 21,983,926 New Atlantic Shares (as defined below) were issued to the Selling Stockholder. We will not receive any of the proceeds from the sale of shares of Common Stock by the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3"/>
      <w:bookmarkEnd w:id="6"/>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offer and sale from time to time of up to 21,983,926 shares of Common Stock by the Selling Stockholder identified in the table below. The shares of Common Stock offered by the Selling Stockholder are those that were pursuant to the Settlement Agreement, dated as of August 7, 2026 (the “Settlement Agreement”), by and among Lyneer Investments, LLC, a Delaware limited liability company (“Lyneer Investments”), Lyneer Staffing Solutions, LLC, a Delaware limited liability company (“Lyneer Staffing”), and Lyneer Holdings, Inc., a Delaware corporation (“Lyneer Holdings,” and together with Lyneer Investments and Lyneer Staffing, the “Companies”), the Company and SPP Credit Advisors, LLC, in its capacity as the Administrative Agent for itself and the lenders under the Bridge Loan Credit Agreement (as defined in the Settlement Agreement) and in its capacity as the Agent for itself and the secured parties under the Term Loan Credit Agreement (as defined in the Settlement Agreement) (“SPP”).</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and IDC Technologies, Inc., a California corporation (“IDC”), and SPP are parties to a term loan (the “SPP Term Loan”) evidenced by, among other documents, (a) the Term Loan Credit Agreement; (b) that certain Pledge and Security Agreement dated as of August 31, 2021 (as amended and reaffirmed by that certain Reaffirmation Agreement dated as of April 29, 2025, and as may be further amended, restated, supplemented or otherwise modified from time to time, the “SPP Security Agreement”), by and among the Companies and SPP as Beneficiary; and (c) that certain Limited Guaranty and Pledge Agreement dated as of June 18, 2024 (as amended, restated, supplemented or otherwise modified from time to time, the “Atlantic Pledge Agreement”), by and between the Company, as Grantor, and SPP, as Beneficiary (the “Loan Documents.”)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SPP, having alleged that the occurrence of certain events of default in connection with and as described in the Loan Documents, foreclosed on April 28, 2025 on IDC’s 21,983,926 shares of Common Stock (the “IDC Shares”) pursuant to the terms of a Purchase Agreement, dated April 28, 2025.</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Settlement Agreement, SPP and the Company entered into an irrevocable Call Option Agreement pursuant to which SPP irrevocably granted the Company a call option which vested and became effective immediately for a ten-year period to acquire the IDC shares at an exercise price of $0.00001 per share. In consideration for the foregoing, the Company issued to SPP 21,983,926 New Atlantic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 grants certain registration rights to SPP and requires the Company to file this prospectus supplement to its effective Form S-3 shelf registration statement (File No. 333-291991) providing for the sale from time to time of all the New Atlantic Shares and Legal Fee Shares by SPP.</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below table (other than the percentages of our outstanding Common Stock beneficially owned) in respect of the Selling Stockholder was furnished by or on behalf of the Selling Stockholder and is as of August 7,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not obligated to sell any of the Common Stock offered by this prospectus supplement. Because the Selling Stockholder may sell some or all of the Common Stock owned by it that are included in this prospectus supplement, and because there are currently no agreements, arrangements or understandings with respect to the sale of any such Common Stock, no estimate can be given as to the number of shares of Common Stock covered by this prospectus supplement that will be held by the Selling Stockholder upon termination of this offering. Therefore, for the purposes of the following table, we have assumed that the Selling Stockholder will sell all of the Common Stock it beneficially owns that are covered by this prospectus supplement, but will not sell any other Common Stock that it may currently own.</w:t>
      </w:r>
    </w:p>
    <w:p>
      <w:pPr>
        <w:pStyle w:val="TextBody"/>
        <w:bidi w:val="0"/>
        <w:spacing w:before="0" w:after="0"/>
        <w:ind w:left="0" w:right="0" w:firstLine="490"/>
        <w:jc w:val="both"/>
        <w:rPr>
          <w:caps w:val="false"/>
          <w:smallCaps w:val="false"/>
        </w:rPr>
      </w:pPr>
      <w:r>
        <w:rPr>
          <w:caps w:val="false"/>
          <w:smallCaps w:val="false"/>
        </w:rPr>
        <w:t> </w:t>
      </w:r>
    </w:p>
    <w:tbl>
      <w:tblPr>
        <w:tblW w:w="8812" w:type="dxa"/>
        <w:jc w:val="left"/>
        <w:tblInd w:w="0" w:type="dxa"/>
        <w:tblLayout w:type="fixed"/>
        <w:tblCellMar>
          <w:top w:w="0" w:type="dxa"/>
          <w:left w:w="0" w:type="dxa"/>
          <w:bottom w:w="28" w:type="dxa"/>
          <w:right w:w="0" w:type="dxa"/>
        </w:tblCellMar>
      </w:tblPr>
      <w:tblGrid>
        <w:gridCol w:w="2345"/>
        <w:gridCol w:w="60"/>
        <w:gridCol w:w="61"/>
        <w:gridCol w:w="1127"/>
        <w:gridCol w:w="312"/>
        <w:gridCol w:w="61"/>
        <w:gridCol w:w="61"/>
        <w:gridCol w:w="450"/>
        <w:gridCol w:w="215"/>
        <w:gridCol w:w="60"/>
        <w:gridCol w:w="97"/>
        <w:gridCol w:w="1783"/>
        <w:gridCol w:w="60"/>
        <w:gridCol w:w="60"/>
        <w:gridCol w:w="433"/>
        <w:gridCol w:w="1552"/>
        <w:gridCol w:w="75"/>
      </w:tblGrid>
      <w:tr>
        <w:trPr/>
        <w:tc>
          <w:tcPr>
            <w:tcW w:w="2345" w:type="dxa"/>
            <w:tcBorders>
              <w:bottom w:val="single" w:sz="12" w:space="0" w:color="000000"/>
            </w:tcBorders>
            <w:vAlign w:val="center"/>
          </w:tcPr>
          <w:p>
            <w:pPr>
              <w:pStyle w:val="TableContents"/>
              <w:bidi w:val="0"/>
              <w:spacing w:before="0" w:after="283"/>
              <w:jc w:val="left"/>
              <w:rPr>
                <w:b/>
              </w:rPr>
            </w:pPr>
            <w:r>
              <w:rPr>
                <w:b/>
              </w:rPr>
              <w:t>Selling Securityholder</w:t>
            </w:r>
          </w:p>
        </w:tc>
        <w:tc>
          <w:tcPr>
            <w:tcW w:w="60" w:type="dxa"/>
            <w:tcBorders/>
            <w:tcMar>
              <w:bottom w:w="0" w:type="dxa"/>
            </w:tcMar>
            <w:vAlign w:val="center"/>
          </w:tcPr>
          <w:p>
            <w:pPr>
              <w:pStyle w:val="TableContents"/>
              <w:bidi w:val="0"/>
              <w:spacing w:before="0" w:after="283"/>
              <w:jc w:val="left"/>
              <w:rPr/>
            </w:pPr>
            <w:r>
              <w:rPr/>
              <w:t> </w:t>
            </w:r>
          </w:p>
        </w:tc>
        <w:tc>
          <w:tcPr>
            <w:tcW w:w="2072" w:type="dxa"/>
            <w:gridSpan w:val="6"/>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Beneficially Owned</w:t>
              <w:br/>
              <w:t xml:space="preserve">Before This Offering </w:t>
            </w:r>
            <w:r>
              <w:rPr>
                <w:rFonts w:ascii="Times New Roman;Times;Serif" w:hAnsi="Times New Roman;Times;Serif"/>
                <w:b/>
                <w:position w:val="7"/>
                <w:sz w:val="16"/>
                <w:sz w:val="20"/>
              </w:rPr>
              <w:t>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0" w:type="dxa"/>
            <w:gridSpan w:val="2"/>
            <w:tcBorders>
              <w:bottom w:val="single" w:sz="12" w:space="0" w:color="000000"/>
            </w:tcBorders>
            <w:vAlign w:val="center"/>
          </w:tcPr>
          <w:p>
            <w:pPr>
              <w:pStyle w:val="TableContents"/>
              <w:bidi w:val="0"/>
              <w:spacing w:before="0" w:after="283"/>
              <w:jc w:val="center"/>
              <w:rPr>
                <w:b/>
              </w:rPr>
            </w:pPr>
            <w:r>
              <w:rPr>
                <w:b/>
              </w:rPr>
              <w:t>Number of Shares</w:t>
              <w:br/>
              <w:t>of Common</w:t>
              <w:br/>
              <w:t>Stock Offered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5" w:type="dxa"/>
            <w:gridSpan w:val="2"/>
            <w:tcBorders>
              <w:bottom w:val="single" w:sz="12" w:space="0" w:color="000000"/>
            </w:tcBorders>
            <w:vAlign w:val="center"/>
          </w:tcPr>
          <w:p>
            <w:pPr>
              <w:pStyle w:val="TableContents"/>
              <w:bidi w:val="0"/>
              <w:spacing w:before="0" w:after="283"/>
              <w:jc w:val="center"/>
              <w:rPr>
                <w:b/>
              </w:rPr>
            </w:pPr>
            <w:r>
              <w:rPr>
                <w:b/>
              </w:rPr>
              <w:t>Number of Shares</w:t>
              <w:br/>
              <w:t>Beneficially Owned</w:t>
              <w:br/>
              <w:t>After This Offering</w:t>
            </w:r>
          </w:p>
        </w:tc>
        <w:tc>
          <w:tcPr>
            <w:tcW w:w="75" w:type="dxa"/>
            <w:tcBorders/>
            <w:tcMar>
              <w:bottom w:w="0" w:type="dxa"/>
            </w:tcMar>
            <w:vAlign w:val="center"/>
          </w:tcPr>
          <w:p>
            <w:pPr>
              <w:pStyle w:val="TableContents"/>
              <w:bidi w:val="0"/>
              <w:spacing w:before="0" w:after="283"/>
              <w:ind w:left="0" w:right="0" w:hanging="240"/>
              <w:jc w:val="left"/>
              <w:rPr/>
            </w:pPr>
            <w:r>
              <w:rPr/>
              <w:t> </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Credit Advisors,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21,983,926</w:t>
            </w:r>
          </w:p>
        </w:tc>
        <w:tc>
          <w:tcPr>
            <w:tcW w:w="312"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pPr>
            <w:r>
              <w:rPr/>
              <w:t>23.8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783" w:type="dxa"/>
            <w:tcBorders/>
            <w:shd w:fill="CCEEFF" w:val="clear"/>
            <w:tcMar>
              <w:bottom w:w="0" w:type="dxa"/>
            </w:tcMar>
            <w:vAlign w:val="center"/>
          </w:tcPr>
          <w:p>
            <w:pPr>
              <w:pStyle w:val="TableContents"/>
              <w:bidi w:val="0"/>
              <w:spacing w:before="0" w:after="283"/>
              <w:jc w:val="right"/>
              <w:rPr/>
            </w:pPr>
            <w:r>
              <w:rPr/>
              <w:t>21,983,926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right"/>
              <w:rPr/>
            </w:pPr>
            <w:r>
              <w:rPr/>
              <w:t>-0-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beneficial ownership before this offering is calculated based on 92,422,997 shares of our common stock outstanding as of August 7,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for SPP Credit Advisors, LLC is c/o 550 Fifth Avenue, 12th Floor New York, New York 10036. C. Todd Kumble, Fund Manager has the power to vote and dispose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terms of the Settlement Agreement, SPP agreed to make commercially reasonable efforts to sell New Atlantic Shares in reasonable amounts on a weekly basis.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4"/>
      <w:bookmarkEnd w:id="7"/>
      <w:r>
        <w:rPr>
          <w:rFonts w:ascii="Times New Roman;Times;Serif" w:hAnsi="Times New Roman;Times;Serif"/>
          <w:b/>
          <w:i w:val="false"/>
          <w:caps w:val="false"/>
          <w:smallCaps w:val="false"/>
          <w:sz w:val="20"/>
        </w:rPr>
        <w:t>PLAN OF DISTRIBUTION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sell any or all of the shares of Common Stock beneficially owned by it and offered hereby.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may be made on one or more exchanges or in the over-the-counter market or otherwise, at prices and at terms then prevailing or at prices related to the then current market price, or in negotiated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effect such transactions by selling the shares of Common Stock to or through broker-dealers. The shares of Common Stock may be sold through broker-dealers by one or more of, or a combination of, the following: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trade in which the broker-dealer so engaged will attempt to sell the shares of Common Stock as agent but may position and resell a portion of the block as principal to facilitate the transaction;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such broker-dealer for its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under Rule 144 under the Securities Act, if available, rather than under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also may transfer the shares of Common Stock in other circumstances, in which case the transferees or other successors in interest will be the selling beneficial owners for purposes of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enter into derivative or hedging transactions with respect to the shares or pledge the shares to secure debts and other obligations (including obligations associated with derivatives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agents or derivatives or hedging counterparties that are involved in selling the shares may be deemed to be “underwriters” within the meaning of the Securities Act in connection with such sales. In such event, any commissions received by such broker-dealers, agents or counterparties and any profit on the resale of the shares purchased by them may be deemed to be underwriting commissions or discounts under the Securities Act.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has informed us that it does not have any agreement or understanding, directly or indirectly, with any person to distribute the Common Stock. If the Selling Stockholder notifies us that a material arrangement has been entered into with a broker-dealer or other person deemed an “underwriter” for the sale of shares through a block trade, special offering or secondary distribution, a purchase by a broker or dealer or certain derivative or hedging transactions, we may be required to file a prospectus supplement pursuant to the applicable rules promulgated under the Securities Act.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 will sell any or all of the shares of Common Stock registered pursuant to this prospectus supplement and the registration statement of which the accompanying prospectus forms a part.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registration expenses relating to the registration of the shares of Common Stock covered by this prospectus supplement, other than underwriting discounts and selling commissions. We have agreed to indemnify the Selling Stockholder against certain losses, claims, damages and liabilities, including liabilities under the Securities Act, or the Selling Stockholder may be entitled to contribution. We may be indemnified by the Selling Stockholder against civil liabilities, including liabilities under the Securities Act that may arise from written information furnished to us by the Selling Stockholder specifically for use in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restrict or suspend offers and sales or other dispositions of the shares under this prospectus supplement, at any time from and after the filing date of this prospectus supplement, subject to certain terms and conditions. In the event of such restriction or suspension, the Selling Stockholder will not be able to offer or sell or otherwise dispose of the shares of Common Stock under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this prospectus supplement, the shares of Common Stock will be freely tradeable in the hands of persons other than our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Subscription Rights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15,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1"/>
      <w:bookmarkEnd w:id="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we will provide a prospectus supplement or a free writing prospectus that will contain specific information about the terms of that offering. The prospectus supplement or free writing prospectus may also add, update or change information contained in this prospectus. You should read both this prospectus, any prospectus supplement and any free writing prospectus together with the additional information described under the heading “Where You Can Find More Information” and “Incorporation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anyone to provide any information other than that contained or incorporated by reference in this prospectus or in any related prospectus supplement or free writing prospectus prepared by us or on our behalf or to which we have referred you. We take no responsibility for, and can provide no assurance as to the reliability of, any other information that others may give you. We are offering to sell securities only in jurisdictions where offers and sales are permitted.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9" w:name="a_002"/>
      <w:bookmarkEnd w:id="9"/>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The summary may not contain all of the information that may be important to you. You should read this entre prospectus carefully, including our financial statements and related notes thereto and the documents incorporated by reference in this prospectus and the risks described below under “Risk factors.” And as described or may be described in any subsequent quarterly report on Form 10-Q or Current Report on Form 8-K, as well as in any applicable prospectus supplement and contained or to be contained in our filings with the SEC and incorporated by reference in this prospectus. We note that our actual results and future events may differ significantly based upon a number of factors. The reader should not put undue reliance on the forward-looking statements in this document, which speak only as of the date on the cover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In this prospectus, unless otherwise noted, the terms “the Company,” “Circle8 Group,” “we,” “us,” and “our” refer to Circle8 Group, Inc.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Circle8 Group, Inc. (“Circle8 Group”) (Nasdaq: CIRC), through its subsidiaries, is a national strategic staffing firm servicing the commercial, professional, finance, direct placement, and managed service provider verticals. Lyneer was formed under the principles of honesty and integrity, and with the view of becoming the preferred outside employer of choice. Since its formation, Lyneer has grown from a regional operation to a national staffing firm with offices and geographic reach across the United States. Lyneer primarily places individuals in accounting and finance, administrative and clerical, information technology, legal, light industrial, and medical roles. Circle 8 Group’s approximately 300 employees generated over $400 million in revenue for the year ended December 31,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With the addition of Circle8 Group B.V. (“Circle8”) on January 23, 2026, Circle8 Group extended its capabilities into specialized high-growth IT and technology staffing capabilities across Europe, complementing Circle8 Group’s North American industrial staffing operations. Circle 8 is a European IT-technology talent and consulting enablement platform that provides specialized workforce solutions to enterprises, technology companies, financial institutions, and public-sector organizations. Circle8 focuses on sourcing, deploying, and managing highly skilled professionals in information technology and related digital disciplines. Circle8 is one of the fastest-growing IT and technology staffing companies, operating across Europe through a portfolio of specialized brands. Circle8 manages over 8,500 technology professionals and specializes in software development, data analytics cybersecurity, project management, and emerging technologies. Circle8 is founder-led and will continue to be led by Mr. Guus Franke who joined Circle 8 Group’s Board of Directors as Executive Chairman and subsequently Chief Executive Officer.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management team of Circle8 Group has over 200 combined years of specific corporate management and investment banking experience. Circle 8 Group’s management has developed long-standing relationships in the staffing industry as well as the institutional investment arena to raise capital for publicly-listed entities to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Corporate Information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under the name SeqLL Inc. on April 1, 2014. On June 13, 2024, the Company changed its name from SeqLL Inc. to Atlantic International Corp. On June 4, 2024 the Company, SeqLL Merger LLC, a Delaware limited liability company and wholly-owned subsidiary of the Company (“Purchaser Sub”), Atlantic Acquisition Corp, a Delaware corporation “Atlantic”, Atlantic Merger LLC, a Delaware limited liability company and a majority-owned subsidiary of Atlantic (“Atlantic Merger Sub”), Lyneer Investments, LLC, a Delaware limited liability company (“Lyneer”), and IDC Technologies, a California corporation (“IDC”), entered into the Merger Agreement pursuant to which (i) Atlantic Merger Sub was merged with and into Lyneer, with Lyneer continuing as the surviving entity and (ii) Purchaser Sub was merged with and into Lyneer with Lyneer continuing as the surviving entity and as a wholly-owned subsidiary of the Company, collectively by referred to as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23, 2026 (the “Closing Date”), the Company completed the acquisition (the “Acquisition”) of Circle8, a company organized under the laws of the Netherlands, pursuant to the terms of the Acquisition Agreement, dated January 22, 2026 (the “Acquisition Agreement”), by and among the Company, Axiom Partners GmbH (“Axiom”) and Circle8. Capitalized terms used herein, but not otherwise defined, have the meaning ascribed to such terms in the Acquisition Agreement, a copy of which has been filed with the SEC on Form 8-K on January 28,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aggregate consideration delivered to Axiom (the “Purchase Price”) for the Circle8 equity was delivered as follows: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to Guus Franke (or his assignees) 12,516,070 shares of Common Stock (an acquisition date fair value of $48.3 million based on the Company’s closing share price of $3.86 as of January 23. 2026), par value $0.00001 per share (“Common Stock”) equal to 19.99% of the issued and outstanding shares of Common Stock as of 12:01 a.m. on the Closing Date (the “Initial Share Consideration”) in compliance with Nasdaq Listing Rule 5635;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 convertible promissory note (the “Convertible Note”) to Axiom in the principal amount of $161,961,751.20 convertible into an aggregate of 53,291,744 shares of Common Stock equal to (i) 65,807,814 shares of Common Stock on a Fully Diluted Basis minus (ii) the 19.99% shares (12,516,070) of Common Stock issued to Mr. Franke as Initial Share Consideration (the “Convertible Note Consideration”). The Convertible Note will automatically convert into common shares of the Company upon the approval of the issuance of the shares by the shareholders of the Company.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in the event there was a forced conversion of the Convertible Promissory Note issued on June 18, 2024, as amended, to IDC Technologies, Inc. (as assigned), Circle 8 Group shall increase the number of shares issued to Mr. Franke (or his assignees) as necessary, so that Mr. Franke shall receive the Convertible Note Consideration taking into account any shares issued under the Convertible Promissory Note as if the shares were issued prior to the closing date upon the same formula used to determine the Convertible Note Consideration. Pursuant to the terms of the Settlement Agreement with SPP the Convertible Promissory Note was released, canceled and discharged.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29, 2026, the Company filed with the Secretary of State of the State of Delaware an amendment to its Amended and Restated Certificate of Incorporation, as amended (the “Amendment”), to change the name of the Company from “Atlantic International Corp.” to “Circle8 Group, Inc.” Concurrently, the Company’s trading symbol on the NASDAQ Stock Market was changed to “CIRC,” effective on July 2,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corporate headquarters are located at 270 Sylvan Avenue, Suite 2230, Englewood Cliffs, New Jersey 07632. Our main telephone number at that address is (201) 899-4470, and our website address is </w:t>
      </w:r>
      <w:r>
        <w:rPr>
          <w:rFonts w:ascii="Times New Roman;Times;Serif" w:hAnsi="Times New Roman;Times;Serif"/>
          <w:b w:val="false"/>
          <w:i/>
          <w:caps w:val="false"/>
          <w:smallCaps w:val="false"/>
          <w:sz w:val="20"/>
          <w:bdr w:val="single" w:sz="12" w:space="1" w:color="000000"/>
        </w:rPr>
        <w:t>www.circle8group.com</w:t>
      </w:r>
      <w:r>
        <w:rPr>
          <w:rFonts w:ascii="Times New Roman;Times;Serif" w:hAnsi="Times New Roman;Times;Serif"/>
          <w:b w:val="false"/>
          <w:i w:val="false"/>
          <w:caps w:val="false"/>
          <w:smallCaps w:val="false"/>
          <w:sz w:val="20"/>
          <w:bdr w:val="single" w:sz="12" w:space="1" w:color="000000"/>
        </w:rPr>
        <w:t>. The information on our website is not part of this prospectus. We have included our website address as a factual reference and do not intend it to be an active link to our website.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 and a Smaller Reporting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These provisions include: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about our executive compensation arrangements;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hold advisory votes on executive compensation or to obtain stockholder approval of any golden parachute arrangements not previously approved;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auditor attestation requirement in the assessment of our internal control over financial reporting.</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3"/>
      <w:bookmarkEnd w:id="10"/>
      <w:r>
        <w:rPr>
          <w:rFonts w:ascii="Times New Roman;Times;Serif" w:hAnsi="Times New Roman;Times;Serif"/>
          <w:b/>
          <w:i w:val="false"/>
          <w:caps w:val="false"/>
          <w:smallCaps w:val="false"/>
          <w:sz w:val="20"/>
        </w:rPr>
        <w:t>WHERE YOU CAN FIND MORE INFORMATION;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 If you do not have Internet access, requests for copies of such documents should be directed to Michael S. Tenore, the Company’s General Counsel, at the Company’s headquarters, located at 270 Sylvan Avenue, Suite 2230, Englewood Cliffs, NJ 07632.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https://www.atlantic-international.com. The information on, or accessible through, our website,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additional documents (other than current reports furnished under Item 2.02 or Item 7.01 of Form 8-K and exhibits on such form that are related to such items)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supplement, or the date of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this prospectus is delivered, upon written or oral request, at no cost to the requester, a copy of any and all of the information that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the documents set forth below that have previously been filed with the SEC since the end of the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before="0" w:after="283"/>
              <w:jc w:val="both"/>
              <w:rPr/>
            </w:pPr>
            <w:r>
              <w:rPr>
                <w:rFonts w:ascii="Times New Roman;Times;Serif" w:hAnsi="Times New Roman;Times;Serif"/>
                <w:sz w:val="20"/>
              </w:rPr>
              <w:t xml:space="preserve">Circle8 Group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xml:space="preserve"> filed with the SEC on April,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6" w:type="dxa"/>
            <w:tcBorders/>
            <w:vAlign w:val="center"/>
          </w:tcPr>
          <w:p>
            <w:pPr>
              <w:pStyle w:val="TableContents"/>
              <w:bidi w:val="0"/>
              <w:spacing w:before="0" w:after="283"/>
              <w:jc w:val="both"/>
              <w:rPr/>
            </w:pPr>
            <w:r>
              <w:rPr>
                <w:rFonts w:ascii="Times New Roman;Times;Serif" w:hAnsi="Times New Roman;Times;Serif"/>
                <w:sz w:val="20"/>
              </w:rPr>
              <w:t xml:space="preserve">Circle8 Group Quarterly Report on </w:t>
            </w:r>
            <w:hyperlink r:id="rId3">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March 31, 2026, filed with the SEC on June 22,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3" w:type="dxa"/>
            <w:tcBorders/>
            <w:vAlign w:val="center"/>
          </w:tcPr>
          <w:p>
            <w:pPr>
              <w:pStyle w:val="TableContents"/>
              <w:bidi w:val="0"/>
              <w:spacing w:before="0" w:after="283"/>
              <w:jc w:val="both"/>
              <w:rPr/>
            </w:pPr>
            <w:r>
              <w:rPr>
                <w:rFonts w:ascii="Times New Roman;Times;Serif" w:hAnsi="Times New Roman;Times;Serif"/>
                <w:sz w:val="20"/>
              </w:rPr>
              <w:t xml:space="preserve">Current reports on Form 8-K filed with the SEC on </w:t>
            </w:r>
            <w:hyperlink r:id="rId4">
              <w:r>
                <w:rPr>
                  <w:rStyle w:val="InternetLink"/>
                  <w:rFonts w:ascii="Times New Roman;Times;Serif" w:hAnsi="Times New Roman;Times;Serif"/>
                  <w:sz w:val="20"/>
                </w:rPr>
                <w:t>January 28,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February 3,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March 26,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3,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June 25,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July 1, 2026</w:t>
              </w:r>
            </w:hyperlink>
            <w:r>
              <w:rPr>
                <w:rFonts w:ascii="Times New Roman;Times;Serif" w:hAnsi="Times New Roman;Times;Serif"/>
                <w:sz w:val="20"/>
              </w:rPr>
              <w:t>, respectively; and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3" w:type="dxa"/>
            <w:tcBorders/>
            <w:vAlign w:val="center"/>
          </w:tcPr>
          <w:p>
            <w:pPr>
              <w:pStyle w:val="TableContents"/>
              <w:bidi w:val="0"/>
              <w:spacing w:before="0" w:after="283"/>
              <w:jc w:val="both"/>
              <w:rPr/>
            </w:pPr>
            <w:r>
              <w:rPr>
                <w:rFonts w:ascii="Times New Roman;Times;Serif" w:hAnsi="Times New Roman;Times;Serif"/>
                <w:sz w:val="20"/>
              </w:rPr>
              <w:t xml:space="preserve">The descriptions of Circle8  Group’s Common Stock which is registered under Section 12 of the Exchange Act, in Circle8  Group’s registration statement on </w:t>
            </w:r>
            <w:hyperlink r:id="rId10">
              <w:r>
                <w:rPr>
                  <w:rStyle w:val="InternetLink"/>
                  <w:rFonts w:ascii="Times New Roman;Times;Serif" w:hAnsi="Times New Roman;Times;Serif"/>
                  <w:sz w:val="20"/>
                </w:rPr>
                <w:t>Form S-1</w:t>
              </w:r>
            </w:hyperlink>
            <w:r>
              <w:rPr>
                <w:rFonts w:ascii="Times New Roman;Times;Serif" w:hAnsi="Times New Roman;Times;Serif"/>
                <w:sz w:val="20"/>
              </w:rPr>
              <w:t xml:space="preserve"> (No. 333-280653), filed on July 2, 2024, including any amendments or reports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and we will provide you with, a copy of these filings, at no cost, by contacting us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Sylvan Avenue, Suite 2230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Englewood Cliffs, NJ</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(201) 899-4470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4"/>
      <w:bookmarkEnd w:id="11"/>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for purposes of the safe harbor provisions provided by Section 27 of the Securities Act of 1933, as amended (the “Securities Act”) and Section 21E of the Securities Exchange Act of 1934, as amended (the “Exchange Act”),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and the accuracy and completeness of the publicly available information with respect to the factors upon which our business strategy is based or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contained in our annual report on Form 10-K for the fiscal year ended December 31, 2025, and as described or may be described in any subsequent quarterly report on Form 10-Q, or current report on Form 8-K, as well as in any applicable prospectus supplement and contained or to be contained in our filings with the SEC and incorporated by reference in this prospectus, “Prospectus Summary,” and 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05"/>
      <w:bookmarkEnd w:id="12"/>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Prior to making a decision about investing in our securities, you should carefully consider the risks, uncertainties and assumptions set forth below as well as those discussed under “Part I—Item 1A—Risk Factors” of our most recent Annual Report on Form 10-K and under “Part II-Item 1A-Risk Factors” in our most recent Quarterly Reports on Form 10-Q and Current Reports on Form 8-K, filed subsequent to such Form 10-K all of which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Please also carefully read the sections titled “Cautionary Note Regarding Forward-Looking Statements,” “Where You Can Find More Information”;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Circle8’s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has significant working capital needs and if it is unable to satisfy those needs from cash generated from its operations or borrowings under its debt instruments, Circle 8 Group shall be required to fund such shortfall.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requires significant amounts of working capital to operate its business. It often has high receivables from its customers. As a staffing company, it is prone to cash flow imbalances because it has to fund payroll payments to temporary workers before receiving payments from clients for its services. Cash flow imbalances also occur because it must pay temporary workers even when it has not been paid by its customers. If Circle8 experiences a significant and sustained drop in operating profits, or if there are unanticipated reductions in cash inflows or increases in cash outlays, it may be subject to cash shortfalls. If such a shortfall were to occur for even a brief period of time, it may have a significant adverse effect on Circle8’s business. In particular, Circle8 uses working capital to pay expenses relating to its temporary workers. As a result, Circle8 must maintain sufficient cash availability to pay temporary workers and fund related tax liabilities prior to receiving payment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Axiom provided Circle8 with funding when such shortfalls occurred. However, under the Acquisition Agreement, Circle 8 Group is responsible for providing Circle8 with all funding, liquidity or similar payments in the ordinary course of business and as may be reasonably necessary or appropriate and as mutually agreed to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Circle8’s operating results tend to be unpredictable from quarter to quarter. Demand for its services is typically lower during traditional national vacation periods when customers and candidates are on vacation. No single quarter is predictive of results of future periods. Any extended period of time with low operating results or cash flow imbalances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derives working capital for its operations through cash generated by its operating activities, equity raises, and borrowings under its debt instruments. If its working capital needs increase in the future, Circle8 may be forced to seek additional sources of capital, which may not be available on commercially reasonable terms. The amount Circle8 is entitled to borrow under its debt instruments is calculated monthly based on the aggregate value of certain eligible trade accounts receivable generated from its operations, which are affected by financial, business, economic and other factors, as well as by the daily timing of cash collections and cash outflows. The aggregate value of eligible accounts receivable may not be adequate to allow for borrowings for other corporate purposes, such as capital expenditures or growth opportunities, which could reduce its ability to react to changes in the market or industry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may lack the speed, agility, and resiliency to effectively operate its business and respond to the needs of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Circle8 may not be able to respond with sufficient speed and agility to the needs of its diverse clients, which span all industries and whose needs may change rapidly as their businesses and industries evolve. The size and breadth of Circle8’s organization, comprising over 8,500 professionals deployed over approximately eight offices in six European countries, may make it difficult for the Company to effectively manage its resources, to maintain its corporate culture throughout the organization, to drive service improvements and to provide coordinated solutions to its clients who require Circle8’s services in multiple locations. For example, client demands for uniform service across borders may be difficult to satisfy because of variation in local laws and customs. Circle8 sees a trend in more multi-country and enterprise-level relationships, and it may have difficulty in profitably managing and delivering projects involving multiple countries. Also, Circle8’s size and organizational structure may make it difficult to develop and implement new processes and tools across the enterprise in a consistent manner. If Circle8 is not effective at anticipating or meeting the widely ranging needs of its current and prospective clients, or its competitors are more agile or effective at doing so, our business and financial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Circle8’s ability to perform at speed, and to meet client expectations, may also be adversely affected by limitations in its own information systems and those of its third-party vendors. Circle8 is increasingly dependent on these systems, which are subject to damage or interruption from multiple causes, including power outages, facility damage, computer and telecommunications failures, vandalism, malware, hacking and other malicious acts, catastrophic events and human error. If its information systems are damaged, fail to work properly, or otherwise become unavailable, Circle8 may incur substantial costs to repair or replace them, and may experience reputational damage, loss of critical information, customer disruption, and interruptions or delays in its ability to perform essential functions and implement new and innovative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worldwide employment services industry is highly competitive with limited barriers to entry in many markets, which could limit Circle8’sability to maintain or increase its market share or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worldwide employment services industry is highly competitive with limited barriers to entry in many markets, and in recent years has undergone significant consolidation. Circle8 competes in markets throughout Europe with full-service and specialized employment services agencies. Several of its global competitors, including The Adecco Group and Randstad, have very substantial marketing and financial resources, and may be better positioned in certain markets. Circle8’s global competitors include the Adecco Group and Randstad. In addition, Circle 8 competes with specialized staffing and workforce solutions firms such as Robert Walters, SThree, HeadFirst Group, PRO Unlimited, and K2 Partnering Solutions. Portions of Circle8’s industry may become increasingly commoditized, with the result that competition in key areas could become more focused on pricing. Circle8 expects that it will continue to experience pressure on price from competitors and clients. There is a risk that Circle8 will not compete effectively, including on price, which could limit its ability to maintain or increase its market share and could materially adversely affect its financial results. This may worsen as clients increasingly take advantage of low-cost alternatives including using their own in-house resources rather than engaging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has outsourced aspects of its business, which could result in disruption, increased costs,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has increasingly outsourced, and may further outsource, important processes of its business to third party vendors, which exposes it to other risks, including increased costs, supply chain interruptions, potential disruptions to its business operations, and reputational risk. For example, Circle8 relies on third parties to host, manage and secure certain aspects of its data center information and technology infrastructure, to develop and maintain new technology for attracting, onboarding, managing, and analyzing its workforce, and to provide important back-office support. Circle8 has increasingly centralized its vendor profile so that it is reliant on a small number of vendors for highly critical corporate and technology functions. While Circle8 believes these third-party vendors provide greater efficiency and expertise, its dependence on a small number of vendors increases the risk that its business will be adversely affected if its vendors are unable to provide these services consistent with its needs. Similarly, its business continuity and its margins could be adversely affected if it needed to replace one of its critical vendors for performance or economic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Circle8’s operations also depend significantly upon these vendors’ and its ability to protect its data and to ensure the availability of its servers, software applications and websites. Despite Circle8’s and its third-party vendors’ implementation of security measures, its systems remain susceptible to system failures, computer viruses, natural disasters, unauthorized access, cyberattacks and other similar incidents, any of which could result in disruptions to Circle8’s operations. Circle8’s vendors have experienced data losses in the past, and Circle8 can expect such data incidents will occur in the future. A successful breach of the security of Circle8’s technology systems, or those of its vendors, could result in the theft of confidential, personally identifiable, or other sensitive data, including data about Circle8’s employees and/or associates, or Circle8’s human resources operations, any of which could damage its reputation in the market. If Circle8 is not able to realize the savings associated with outsourcing services or if there is a disruption or security breach of our outsourced services that results in a loss or damage to its data, or in an inappropriate disclosure of confidential, personally identifiable, or sensitive data, our business and financial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Circle8’s global operations subject us to certain risks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operations in six countries throughout Europe and now the United States, the Company is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Circle8’s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possible to predict such events or their consequences, these events could materially adversely affect Circle8’s reputation,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Circle8’s ability to attract and retain business and employees may depend on its reputation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believes its reputation, along with its brand equity in Circle8’s name and its various other brands, are important corporate resources that help distinguish its services from those of competitors and also contribute to its efforts to recruit and retain talented employees. However,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Circle8, even if based on rumor or misunderstanding, could materially adversely affect its business. Damage to Circle8’s reputation could be difficult, expensive and time-consuming to repair, could make potential or existing clients reluctant to select it for new engagements, resulting in a loss of business, and could materially adversely affect Circle8’s recruitment and retention efforts. Damage to Circle8’s reputation could also reduce the value and effectiveness of the Circle8 name and our other brand names, and could reduce investor confidence in the Company, materially adversely affecting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fluctuations may have a material adverse effect on Circle8’s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will report our results of operations in United States dollars, the majority of Circle8’s revenues and expenses are denominated in currencies other than the United States dollar, and unfavorable fluctuations in foreign currency exchange rates could have a material adverse effect on its reported financial results. Highly inflationary economies of certain foreign countries, can result in foreign currency devaluation, which may also negatively impact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Circle8’s revenues are generated outside of the United States, in Europe. As of December 31, 2025, Circle8 had approximately EU 45 million of financial indebtedness as well as an off-balance sheet structured financing program of approximately EU 160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Circle8’s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seeks to mitigate our exposure to foreign currency fluctuations by utilizing net investment hedges and, from time to time, foreign currency forward exchange contracts and cross-currency swaps. Circle8 primarily mitigates foreign exchange exposure through natural hedging, as a significant portion of its revenues and operating costs are denominated in the same local currencies. The effectiveness of this hedge, in part, depends on Circle8’s ability to accurately forecast future cash flows, which is particularly difficult during periods of uncertain or uneven demand for its services and highly volatile exchange rates. Further, hedging activities may only offset a portion, or none at all, of the material adverse financial effects of unfavorable fluctuations in foreign exchange rates over the time the hedge is in place or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Circle8’s subsidiaries and their ability to distribute cash to Circle8 may vary, negatively affecting its ability to service its debt at the parent company level or in other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Circle8 conducts a significant portion of its operations through its subsidiaries, its cash flow and its consequent ability to service its debt depends, in part, upon the earnings of its subsidiaries and the distribution of those earnings to its parent company, or upon loans or other payments of funds by those subsidiaries to its parent company or to other subsidiaries. The payment of such dividends and the making of such loans and advances by Circle8’s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could be subject to changes in tax rates, adoption of new international tax legislation or tax audits that could result in additional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is subject to income and other taxes in the international jurisdictions where it has operations. The tax bases and rates of these respective tax jurisdictions change from time to time due to economic and political conditions. Circle8’s effective income tax rate is affected by changes in earnings in countries with differing tax rates, changes in valuation of deferred tax assets and liabilities or changes in the respective tax laws. Circle8’s other taxes are impacted by changes in local tax laws or changes in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tax accounting involves complex matters and requires our judgment to determine our worldwide provision for income and other taxes and tax assets and liabilities. These complex matters include transfer pricing and reporting related to intercompany transactions. The Company is routinely subject to tax examinations by the United States Internal Revenue Service and new foreign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recently enacted Pillar Two, which introduces a global minimum effective tax rate whereby certain multinational groups are subject to a 15% minimum tax on income derived in low-tax jurisdictions. These proposed and enacted changes in tax laws, treaties or regulations, or their interpretation or enforcement, could have a material adverse impact on our current or future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regulations may result in prohibition or restriction of certain types of employment services or the imposition of additional licensing or tax requirements that may reduce our future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in which Circle8 operates, such as Germany, Switzerland and the Netherlands, are heavily regulated and scrutinized.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to our revenues, costs, and operating margins as we and customers adjust to these new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and territories in which we operate may, among other things: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additional regulations that prohibit or restrict the types of employment services or categories of job roles that we may provide;</w:t>
            </w:r>
          </w:p>
        </w:tc>
      </w:tr>
    </w:tbl>
    <w:p>
      <w:pPr>
        <w:pStyle w:val="TextBody"/>
        <w:bidi w:val="0"/>
        <w:spacing w:before="0" w:after="0"/>
        <w:ind w:left="720" w:right="0" w:hanging="36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new or additional benefits be paid to our associates;</w:t>
            </w:r>
          </w:p>
        </w:tc>
      </w:tr>
    </w:tbl>
    <w:p>
      <w:pPr>
        <w:pStyle w:val="TextBody"/>
        <w:bidi w:val="0"/>
        <w:spacing w:before="0" w:after="0"/>
        <w:ind w:left="720" w:right="0" w:hanging="36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pay parity for our associates or impose mandatory thresholds for employee diversity;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period of time for which we may or may not employ our workers, including maximum term limits or minimum time requirements for associates on assignment at our clients;</w:t>
            </w:r>
          </w:p>
        </w:tc>
      </w:tr>
    </w:tbl>
    <w:p>
      <w:pPr>
        <w:pStyle w:val="TextBody"/>
        <w:bidi w:val="0"/>
        <w:spacing w:before="0" w:after="0"/>
        <w:ind w:left="720" w:right="0" w:hanging="36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adopt new pandemic regulations that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obtain additional licensing to provide employment services; or</w:t>
            </w:r>
          </w:p>
        </w:tc>
      </w:tr>
    </w:tbl>
    <w:p>
      <w:pPr>
        <w:pStyle w:val="TextBody"/>
        <w:bidi w:val="0"/>
        <w:spacing w:before="0" w:after="0"/>
        <w:ind w:left="720" w:right="0" w:hanging="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taxes, such as sales or value-added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antibribery and corruption laws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is subject to numerous legal and regulatory requirements that prohibit bribery and corrupt acts. These include the UK Bribery Act 2010, as well as similar legislation in many of the countries and territories in which it operates. Circle8 employees (but not its temporary associates) are required to participate in a global anticorruption compliance training program designed to ensure compliance with these laws and regulations. However, there are no assurances this program will be effective. In many countries where Circle8 operates, practices in the local business community may not conform to international business standards and could violate anticorruption law or regulations. Furthermore, Circle8 remains subject to the risk that one of its employees (or one of its associates on a temporary or contract-based assignment) could engage in business practices that are prohibited by its policies and these laws and regulations. Any such violations could materially adversely affect Circle8’s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its business models may carry a heightened risk of regulatory inquiry under relevant competition laws. Although Circle8 has put in place safeguards designed to maintain compliance with applicable competition laws, there can be no assurance these protections will be adequate. Competition law authorities have investigated our business practices in the past, and there continues to be a risk of such inquiries in the future. There is no assurance we would successfully defend against any such regulatory inquiries, and they could consume substantial amounts of Circle8’s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highly volatile,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highly volatile. You may be unable to sell your shares of Common Stock at or above the offering price. The market prices of our Common Stock could be subject to wide fluctuations in response to a variety of factors, which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financial condition and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technological innovations by us or our competitors;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our customers, partners or suppliers relating directly or indirectly to our products, services or technologies;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conditions in our industry and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 or loss of significant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laws or regulations applicable to our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our growth rate relative to our competitors;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acquisitions, strategic partnerships, joint ventures, capital commitments or achievement of significant milestones;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existing products or new products that may emerge;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valuation of companies perceived by investors to be comparable to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or other developments related to proprietary rights, including patents, litigation matters or our ability to obtain intellectual property protection for our technologies;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 or expectation of additional financing efforts;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our Common Stock by us or our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and volume fluctuations attributable to inconsistent trading volume levels of our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guidance and ratings issued by securities or industry analysts;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forgoing occurs, it could cause our Common Stock or trading volumes to decline. Stock markets in general and the small-cap market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prices of our Common Stock. You may not realize any return on your investment in us and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could be subject to rapid and substantial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instances of extreme stock price run-ups followed by rapid price declines and strong stock price volatility with recent public offerings, especially among those with relatively smaller public floats. As a smaller-capitalization company with a small public float, we may experience greater stock price volatility, extreme price run-ups, lower trading volume, and less liquidity than larger-capitalization companies. In particular, our Common Stock may be subject to rapid and substantial price volatility, low volumes of trades, and large spreads in bid and asked prices. Such volatility, including any stock run-ups, may be unrelated to our actual or expected operating performance and financial condition or prospects, making it difficult for prospective investors to assess the rapidly changing value of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shares of Common Stock or other of our securities and our ability to obtain additional financing in the future. There can be no assurance that an active market in our Common Stock will be sustained. If an active market is not sustained, holders of our Common Stock may be unable to readily sell the shares they hold or may not be able to sell their shares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shares become subject to the penny stock rules, it would become more difficult to trade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fail to maintain a listing on the Nasdaq Stock Market, and, if the price of the Common Stock trades at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 may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the reduced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We may remain an emerging growth company until as late as December 2026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$700,000,000 as of any June 30, in which case we would cease to be an emerging growth company as of the following December 31, or (2) if our gross revenue exceeds $1.235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have irrevocably elected to avail ourselves of this exemption from new or revised accounting standards and, therefore, we will not be subject to the same new or revised accounting standards as other public companies that are not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elected to use the extended transition period for complying with new or revised accounting standards for an emerging growth company our financial statements may not be comparable to companies that comply with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 and thus investors may have difficulty evaluating or comparing our business, performance or prospects in comparison to other public companies, which may have a negative impact on the value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 more difficult and may prevent attempts by our Stockholder to replace or remove our current management and limit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without further action by the Stockholder, up to 20,000,000 shares of undesignated preferred stock (of which up to 15,000 shares have been designated as Series B 5% Convertible Preferred Stock) and up to 300,000,000 shares of authorized but unissued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any action to be taken by our Stockholder be effected at a duly called annual or special meeting and not by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that special meetings of our Stockholder can be called only by our board of directors, the Chairman of the Board, the Chief Executive Officer or the President;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an advance notice procedure for stockholder approvals to be brought before an annual meeting of our Stockholder, including proposed nominations of persons for election to our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our directors may be removed only for cause;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Stockholder to replace or remove our current management by making it more difficult for Stockholder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 owning in excess of 15% of our outstanding voting stock to merge or combine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issuance of additional shares of Common Stock or preferred stock, or options or warrants to purchase those stock, would dilute investors’ proportionate ownership and voting rights. Our issuance of preferred stock, or options or warrants to purchase those shares, could negatively impact the value of investors’ investment in our Common Stock as the result of preferential voting rights or veto powers, dividend rights, disproportionate rights to appoint directors to our board, conversion rights, redemption rights and liquidation provisions granted to the preferred stockholders, including the grant of rights that could discourage or prevent the distribution of dividends to stockholders, or prevent the sale of our assets or a potential takeover of our Company that might otherwise result in stockholders receiving a distribution or a premium over the market price for investors’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under our certificate of incorporation to issue up to 300,000,000 common and 20,000,000 “blank check” preferred shares. After taking into consideration our outstanding common and preferred shares as of August 7, 2026, we will be entitled to issue up to 207,557,003 additional common shares and 19,990,394 preferred shares. We have sold 9,906 Shares of Series B 5% Convertible Preferred Stock (“Series B Preferred Stock”),with a stated value of $1,072 per share (total value of $10,278,420) to an institutional investor. These shares rank senior to the Company’s Common Stock and have no voting rights, except as long as any shares of Preferred Stock are outstanding, the Company shall not, without the affirmative vote of the Holders of a majority of the then outstanding shares of Series B Preferred Stock, (a) alter or change adversely the powers, preferences or rights given to the Preferred Stock or alter or amend the Certificate of Designation, (b) authorize or create any class of stock ranking as to dividends, redemption or distribution of assets upon a Liquidation, senior to, or otherwise pari passu with, Series B Preferred Stock (c) amend its certificate of incorporation or other charter documents in any manner that adversely affects any rights of the Series B Preferred Stockholders, (d) issue any new shares of this Series B Preferred Stock to any other holders, or (e) enter into any agreement with respect to any of the foregoing. Our board may generally issue those common and preferred shares, or options or warrants to purchase those shares, without further approval by our stockholders based upon such factors as our board of directors may deem relevant at that time. Any preferred stock we may issue shall have such rights, preferences, privileges and restrictions as may be designated from time-to-time by our board, including preferential dividend rights, voting rights, conversion rights, redemption rights and liquidation provisions. It is likely that we will be required to issue a large amount of additional securities to raise capital to further our business strategy. It is also likely that we will be required to issue a large amount of additional securities to directors, officers, employees and consultants as compensatory grants in connection with their services, both in the form of stand-alone grants or under our various stock plans. We cannot guarantee that we will not issue additional common or preferred shares, or options or warrants to purchase those shares, under circumstances we may deem appropriate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provides that the Court of Chancery of the State of Delaware is the exclusive forum for certain litigation that may be initiated by our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the Court of Chancery of the State of Delaware shall be the sole and exclusive forum for the following types of actions or proceedings under Delaware statutory law or Delaware common law, subject to certain exceptions: (1) any derivative action or proceeding brought on our behalf; (2) any action asserting a claim of breach of a fiduciary duty or other wrongdoing by any of our directors, officers, employees or agents to us or our Stockholder; (3) any action asserting a claim against us arising pursuant to provisions of the Delaware General Corporation Law or our amended and restated certificate of incorporation or amended and restated bylaws; or (4) any action asserting a claim governed by the internal affairs doctrine. The choice of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 By agreeing to the exclusive forum provisions, investors will not be deemed to have waived our compliance obligations with any federal securities laws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any cash dividends on our Common Stock in the foreseeable future and, as a result, capital appreciation, if any, of our Common Stock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anticipate paying any cash dividends on our Common Stock in the foreseeable future. We currently intend to retain all available funds and any future earnings to fund the development and growth of our business. In addition, any future loan arrangements we enter into may contain terms prohibiting or limiting the amount of dividends that may be declared or paid on our Common Stock. As a result, capital appreciation, if any, of our Common Stock offered hereby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6"/>
      <w:bookmarkEnd w:id="13"/>
      <w:r>
        <w:rPr>
          <w:rFonts w:ascii="Times New Roman;Times;Serif" w:hAnsi="Times New Roman;Times;Serif"/>
          <w:b/>
          <w:i w:val="false"/>
          <w:caps w:val="false"/>
          <w:smallCaps w:val="false"/>
          <w:sz w:val="20"/>
        </w:rPr>
        <w:t>USE OF PROCEEDS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we intend to use the net proceeds from the sales of the securities covered by this prospectus for general corporate purposes, which may include, but are not limited to, funding for working capital, payment of dividends, capital expenditures, repurchases of our common stock, repayment of debt, and acquisitions. We may temporarily invest funds that are not immediately needed for these purposes in short-term investments, including, but not limited to,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7"/>
      <w:bookmarkEnd w:id="14"/>
      <w:r>
        <w:rPr>
          <w:rFonts w:ascii="Times New Roman;Times;Serif" w:hAnsi="Times New Roman;Times;Serif"/>
          <w:b/>
          <w:i w:val="false"/>
          <w:caps w:val="false"/>
          <w:smallCaps w:val="false"/>
          <w:sz w:val="20"/>
        </w:rPr>
        <w:t>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presently listed on the Nasdaq Global Market under the symbol “ATLN”. On August 10, 2026, the last reported sale price of our Common Stock was $0.7488.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7, 2026, we had 92,422,997 shares issued and outstanding of our Common Stock. We had 304 registered holders of record of our Common Stock. A Substantially greater number of holders of our Common Stock are “street name” or beneficial holders, whose shares of record are held through banks, brokers, other financial institutions and registered clearing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7"/>
      <w:bookmarkEnd w:id="15"/>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capital stock and certain provisions of our certificate of incorporation and bylaws. This summary does not purport to be complete and is qualified in its entirety by the provisions of our certificate of incorporation, as amended, our bylaws and applicable provisions of the Delaware General Corporation Law (the “DGCL”).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“Where You Can Find More Information” elsewhere in this prospectus for information on where you can obtain copies of our certificate of incorporation and our bylaws, which have been filed with and are publicly available from the SEC. Our authorized capital stock consists of 300,000,000 shares of Common Stock, par value $0.00001 per share, and 20,000,000 shares of preferred stock, par value $0.00001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9"/>
      <w:bookmarkEnd w:id="16"/>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7, 2026, there were 92,422,997 shares of our Common Stock issued outstanding held by 304 Stockholder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any holders of any outstanding shares or series of preferred stock, holders of Common Stock are entitled to the payment of dividends when and as declared by our board of directors in accordance with applicable law and to receive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or in a preferred stock designation, holders of Common Stock are entitled to one vote for each share held of record on all matters submitted to a vote of the Stockholder, have the exclusive right to vote for the election of directors and do not have cumulative voting rights. Except as otherwise required by law, holders of Common Stock are not entitled to vote on any amendment to the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our Certificate of Incorporation (including any certificate of designations relating to any series of preferred stock) or pursuant to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any holders of any outstanding shares or series of preferred stock, in the event of any liquidation, dissolution or winding up of our affairs, whether voluntary or involuntary, our funds and assets, to the extent they may be legally distributed to holders of Common Stock, shall be distributed among the holders of the then outstanding Common Stock pro rata in accordance with the number of shares of Common Stock held by each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Rights and Preferences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fully paid and non-assessable. The holders of Common Stock have no pre-emptive or other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“CIRC”.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address of VStock Transfer, LLC is 18 Lafayette Place, Woodmere, NY 11598 and its telephone number is (212) 828-8436.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0"/>
      <w:bookmarkEnd w:id="17"/>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7, 2026, 9,606 shares of preferred stock had been issued or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our preferred stock does not purport to be complete. This description is summarized from, and is qualified in its entirety by reference to, our Certificate of Incorporation and our Bylaws, to which you should refer and both of which are included as exhibits to the registration statement of which this prospectus supplement is a part. The summary below is also qualified by provisions of applicable law, including the DGCL.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to issue up to 20,000,000 shares of preferred stock in one or more series and to determine the rights and preferences of the shares of any such series without stockholder approval. Our board of directors may issue preferred stock in one or more series and has the authority to fix the designation and powers, rights and preferences and the qualifications, limitations or restrictions with respect to each class or series of such class without further vote or action by the Stockholder, unless action is required by applicable law or the rules of any stock exchange on which our securities may be listed. The ability of our board of directors to issue preferred stock without stockholder approval could have the effect of delaying, deferring or preventing a change of control of us or the removal of existing management. Further, our board of director may authorize the issuance of preferred stock with voting or conversion rights that could adversely affect the voting power or other rights of the holders of our Common Stock. Additionally, the issuance of preferred stock may have the effect of decreasing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but not be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and stated value;</w:t>
            </w:r>
          </w:p>
        </w:tc>
      </w:tr>
    </w:tbl>
    <w:p>
      <w:pPr>
        <w:pStyle w:val="TextBody"/>
        <w:bidi w:val="0"/>
        <w:spacing w:before="0" w:after="0"/>
        <w:ind w:left="1440" w:right="0" w:hanging="36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we are offering;</w:t>
            </w:r>
          </w:p>
        </w:tc>
      </w:tr>
    </w:tbl>
    <w:p>
      <w:pPr>
        <w:pStyle w:val="TextBody"/>
        <w:bidi w:val="0"/>
        <w:spacing w:before="0" w:after="0"/>
        <w:ind w:left="1440" w:right="0" w:hanging="36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1440" w:right="0" w:hanging="36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1440" w:right="0" w:hanging="36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dividend rate, period and payment date and method of calculation for dividends;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1440" w:right="0" w:hanging="36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provisions for a sinking fund, if any;</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convertible into our Common Stock, and, if applicable, the conversion price, or how it will be calculated, and the conversion period;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exchangeable into debt securities, and, if applicable, the exchange price, or how it will be calculated, and the exchange period;</w:t>
            </w:r>
          </w:p>
        </w:tc>
      </w:tr>
    </w:tbl>
    <w:p>
      <w:pPr>
        <w:pStyle w:val="TextBody"/>
        <w:bidi w:val="0"/>
        <w:spacing w:before="0" w:after="0"/>
        <w:ind w:left="1440" w:right="0" w:hanging="36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if any, of the preferred stock;</w:t>
            </w:r>
          </w:p>
        </w:tc>
      </w:tr>
    </w:tbl>
    <w:p>
      <w:pPr>
        <w:pStyle w:val="TextBody"/>
        <w:bidi w:val="0"/>
        <w:spacing w:before="0" w:after="0"/>
        <w:ind w:left="1440" w:right="0" w:hanging="36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preemptive rights, if any;</w:t>
            </w:r>
          </w:p>
        </w:tc>
      </w:tr>
    </w:tbl>
    <w:p>
      <w:pPr>
        <w:pStyle w:val="TextBody"/>
        <w:bidi w:val="0"/>
        <w:spacing w:before="0" w:after="0"/>
        <w:ind w:left="1440" w:right="0" w:hanging="36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1440" w:right="0" w:hanging="36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discussion of any material United States federal income tax considerations applicable to the preferred stock;</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stock as to dividend rights and rights if we liquidate, dissolve or wind up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stock ranking senior to or on a parity with the series of preferred stock as to dividend rights and rights if we liquidate, dissolve or wind up our affairs; and</w:t>
            </w:r>
          </w:p>
        </w:tc>
      </w:tr>
    </w:tbl>
    <w:p>
      <w:pPr>
        <w:pStyle w:val="TextBody"/>
        <w:bidi w:val="0"/>
        <w:spacing w:before="0" w:after="0"/>
        <w:ind w:left="1440" w:right="0" w:hanging="36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stock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1"/>
      <w:bookmarkEnd w:id="1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and/or preferred stock in one or more series. We may issue warrants independently or together with Common Stock and/or preferred stock, and the warrants may be attached to or separate from these securities. 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reports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supplement. We urge you to read the applicable prospectus supplement supplements related to the particular series of warrants that we may offer under this prospectus supplement, as well as any related free writing prospectus supplements, and the complete warrant agreements and warrant certificates that contain the terms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being offered, including:</w:t>
      </w:r>
    </w:p>
    <w:p>
      <w:pPr>
        <w:pStyle w:val="TextBody"/>
        <w:bidi w:val="0"/>
        <w:spacing w:before="0" w:after="0"/>
        <w:ind w:left="0" w:right="0" w:firstLine="72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aggregate number of warrants offered;</w:t>
            </w:r>
          </w:p>
        </w:tc>
      </w:tr>
    </w:tbl>
    <w:p>
      <w:pPr>
        <w:pStyle w:val="TextBody"/>
        <w:bidi w:val="0"/>
        <w:spacing w:before="0" w:after="0"/>
        <w:ind w:left="1440" w:right="0" w:hanging="36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for which the warrants may be purchased;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1440" w:right="0" w:hanging="36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securities will be separately transferable;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agreements and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rights to redeem or call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the right to exercise the warrants will commence and expire;</w:t>
            </w:r>
          </w:p>
        </w:tc>
      </w:tr>
    </w:tbl>
    <w:p>
      <w:pPr>
        <w:pStyle w:val="TextBody"/>
        <w:bidi w:val="0"/>
        <w:spacing w:before="0" w:after="0"/>
        <w:ind w:left="1440" w:right="0" w:hanging="36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warrant agreements and warrants may be modified;</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consequences of holding or exercising the warrants;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 and</w:t>
            </w:r>
          </w:p>
        </w:tc>
      </w:tr>
    </w:tbl>
    <w:p>
      <w:pPr>
        <w:pStyle w:val="TextBody"/>
        <w:bidi w:val="0"/>
        <w:spacing w:before="0" w:after="0"/>
        <w:ind w:left="1440" w:right="0" w:hanging="36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 of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warrants represented by the warrant certificate are not exercised,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day of this prospectus, we had outstanding warrants issued by SeqLL Inc. that are exercisable to purchase an aggregate of 92,036 shares of Common Stock at an exercise price of $181.33 per share that expire in August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2"/>
      <w:bookmarkEnd w:id="19"/>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 we may enter into a standby underwriting arrangement with one or more underwriters pursuant to which such underwriters will purchase any offered securities remaining unsubscribed after such rights offering. In connection with a rights offering to our Stockholder, we will distribute certificates evidencing the rights and a prospectus supplement to our Stockholder on the record date that we set for receiving rights in such rights offering. The applicable prospectus supplement or free writing prospectus supplement will describe the following terms of rights in respect of which this prospectus supplement is being delivered:</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securities for which such rights are exercisable;</w:t>
            </w:r>
          </w:p>
        </w:tc>
      </w:tr>
    </w:tbl>
    <w:p>
      <w:pPr>
        <w:pStyle w:val="TextBody"/>
        <w:bidi w:val="0"/>
        <w:spacing w:before="0" w:after="0"/>
        <w:ind w:left="1440" w:right="0" w:hanging="36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exercise price for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1440" w:right="0" w:hanging="36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such rights issued to each security holder;</w:t>
            </w:r>
          </w:p>
        </w:tc>
      </w:tr>
    </w:tbl>
    <w:p>
      <w:pPr>
        <w:pStyle w:val="TextBody"/>
        <w:bidi w:val="0"/>
        <w:spacing w:before="0" w:after="0"/>
        <w:ind w:left="1440" w:right="0" w:hanging="36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such rights are transferable;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United States federal income tax considerations applicable to the issuance or exercise of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rights shall commence, and the date on which such rights shall expire (subject to any extension);</w:t>
            </w:r>
          </w:p>
        </w:tc>
      </w:tr>
    </w:tbl>
    <w:p>
      <w:pPr>
        <w:pStyle w:val="TextBody"/>
        <w:bidi w:val="0"/>
        <w:spacing w:before="0" w:after="0"/>
        <w:ind w:left="1440" w:right="0" w:hanging="36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rights;</w:t>
            </w:r>
          </w:p>
        </w:tc>
      </w:tr>
    </w:tbl>
    <w:p>
      <w:pPr>
        <w:pStyle w:val="TextBody"/>
        <w:bidi w:val="0"/>
        <w:spacing w:before="0" w:after="0"/>
        <w:ind w:left="1440" w:right="0" w:hanging="36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rights include an over-subscription privilege with respect to unsubscribed securities;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rights offering;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such rights, including terms, procedures and limitations relating to the exchange and exercise of such rights.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rights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3"/>
      <w:bookmarkEnd w:id="2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that we include in any applicable prospectus supplement, summarizes the material terms and provisions of the units that we may offer under this prospectus supplement. While the terms we have summarized below will apply generally to any units that we may offer under this prospectus supplement, we will describe the particular terms of any series of units in more detail in the applicable prospectus supplement. The terms of any units offered under a prospectus supplement may differ from the terms described below.</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supplements related to the particular series of units that we may offer under this prospectus supplement, as well as any related free writing prospectus supplements and the complete unit agreement and any supplemental agreements that contain the terms of the units.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we may issue, in one more series, units consisting of Common Stock, preferred stock and/or warrants or rights for the purchase of Common Stock and/or preferred stock in any combination. The applicable prospectus supplement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comprising the units, including whether and under what circumstances the securities comprising the units may be separately traded;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applicable to the units, including a description of the terms of any applicable unit agreement governing the units; and</w:t>
              <w:tab/>
            </w:r>
          </w:p>
        </w:tc>
      </w:tr>
    </w:tbl>
    <w:p>
      <w:pPr>
        <w:pStyle w:val="TextBody"/>
        <w:bidi w:val="0"/>
        <w:spacing w:before="0" w:after="0"/>
        <w:ind w:left="1440" w:right="0" w:hanging="36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provisions for the payment, settlement, transfer or exchange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set forth in any prospectus supplement or as described under “Description of Common Stock”, “Description of Preferred Stock”, “Description of Warrants” and “Description of Rights” will apply to each unit, as applicable, and to any Common Stock, preferred stock, warrant, or right included in each unit, as applicable.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may determine.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underwriters or dealers;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 the market” offerings, within the meaning of Rule 415(a)(4) of the Securities Act, to or through a market maker or into an existing trading market on an exchange or otherwise;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 permitted by applicable law and described in a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supplement and any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any offering of securities will include the following information:</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names of any underwriters, dealers or direct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price or public offering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securities exchange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supplement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we will sell the securities to them as principals. They may then resell those securities to the public at fixed prices or at varying prices determined by the dealers at the time of resale. We will include in the applicable prospectus supplement the names of the dealers and the terms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and agents named in a prospectus supplement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or agents and their associates may engage in other transactions with and perform other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may also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the securities offered by any applicable prospectus supplement in “at the market offerings” within the meaning of Rule 415(a)(4) of the Securities Act, to or through a market maker or into an existing trading market, on an exchange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Remarketing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contracts would be subject only to those conditions described in the applicable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i w:val="false"/>
          <w:caps w:val="false"/>
          <w:smallCaps w:val="false"/>
          <w:sz w:val="20"/>
        </w:rPr>
      </w:pPr>
      <w:bookmarkStart w:id="22" w:name="a_014"/>
      <w:bookmarkEnd w:id="22"/>
      <w:r>
        <w:rPr>
          <w:rFonts w:ascii="Times New Roman;Times;Serif" w:hAnsi="Times New Roman;Times;Serif"/>
          <w:b/>
          <w:i w:val="false"/>
          <w:caps w:val="false"/>
          <w:smallCaps w:val="false"/>
          <w:sz w:val="20"/>
        </w:rPr>
        <w:t>DIVIDEND POLICY</w:t>
      </w:r>
    </w:p>
    <w:p>
      <w:pPr>
        <w:pStyle w:val="TextBody"/>
        <w:bidi w:val="0"/>
        <w:spacing w:before="0" w:after="0"/>
        <w:ind w:left="480" w:right="0" w:hanging="48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cash dividends on our capital stock to date and do not anticipate or contemplate paying dividends in the foreseeable future. We intend to retain future earnings, if any, to finance the expansion of our business, and we do not anticipate that any cash dividends will be paid in the foreseeable future. Our future payment of dividends will depend on our earnings, capital requirements, expansion plans, financial condition and other relevant factors that our board of directors may deem relevant. Our accumulated deficit currently limits our ability to pay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5"/>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us by Davidoff Hutcher &amp; Citron LLP (“DHC”), New York, New York. DHC owns 20,000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6"/>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Circle8 Group and its subsidiaries as of and for the years ended December 31, 2024 and 2025 incorporated by reference in this prospectus have been audited by RBSM LLP, an independent registered public accounting firm as set forth in their report, and are incorporated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Subscription Rights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05888/000160588826000017/altn-20251231.htm" TargetMode="External"/><Relationship Id="rId3" Type="http://schemas.openxmlformats.org/officeDocument/2006/relationships/hyperlink" Target="https://www.sec.gov/ix?doc=/Archives/edgar/data/1605888/000160588826000025/altn-20260331.htm" TargetMode="External"/><Relationship Id="rId4" Type="http://schemas.openxmlformats.org/officeDocument/2006/relationships/hyperlink" Target="https://www.sec.gov/ix?doc=/Archives/edgar/data/1605888/000121390026008654/ea0274101-8k_atlantic.htm" TargetMode="External"/><Relationship Id="rId5" Type="http://schemas.openxmlformats.org/officeDocument/2006/relationships/hyperlink" Target="https://www.sec.gov/ix?doc=/Archives/edgar/data/1605888/000160588826000004/altn-20260202.htm" TargetMode="External"/><Relationship Id="rId6" Type="http://schemas.openxmlformats.org/officeDocument/2006/relationships/hyperlink" Target="https://www.sec.gov/ix?doc=/Archives/edgar/data/1605888/000121390026034808/ea0283340-8k_atlantic.htm" TargetMode="External"/><Relationship Id="rId7" Type="http://schemas.openxmlformats.org/officeDocument/2006/relationships/hyperlink" Target="https://www.sec.gov/ix?doc=/Archives/edgar/data/1605888/000121390026039579/ea0284949-8k_atlantic.htm" TargetMode="External"/><Relationship Id="rId8" Type="http://schemas.openxmlformats.org/officeDocument/2006/relationships/hyperlink" Target="https://www.sec.gov/ix?doc=/Archives/edgar/data/1605888/000160588826000028/altn-20260622.htm" TargetMode="External"/><Relationship Id="rId9" Type="http://schemas.openxmlformats.org/officeDocument/2006/relationships/hyperlink" Target="https://www.sec.gov/ix?doc=/Archives/edgar/data/1605888/000160588826000037/altn-20260629.htm" TargetMode="External"/><Relationship Id="rId10" Type="http://schemas.openxmlformats.org/officeDocument/2006/relationships/hyperlink" Target="https://www.sec.gov/Archives/edgar/data/1605888/000121390024058504/ea0208755-s1_atlantic.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17638</Words>
  <Characters>95737</Characters>
  <CharactersWithSpaces>113480</CharactersWithSpaces>
  <Paragraphs>1210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