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7990-424b7_circle8.htm"/>
      <w:bookmarkStart w:id="1" w:name="ksea0307990424b7_circle8"/>
      <w:bookmarkStart w:id="2" w:name="ea0307990-424b7_circle8.htm"/>
      <w:bookmarkStart w:id="3" w:name="ksea0307990424b7_circle8"/>
      <w:bookmarkEnd w:id="2"/>
      <w:bookmarkEnd w:id="3"/>
    </w:p>
    <w:tbl>
      <w:tblPr>
        <w:tblW w:w="7450" w:type="dxa"/>
        <w:jc w:val="left"/>
        <w:tblInd w:w="0" w:type="dxa"/>
        <w:tblLayout w:type="fixed"/>
        <w:tblCellMar>
          <w:top w:w="0" w:type="dxa"/>
          <w:left w:w="0" w:type="dxa"/>
          <w:bottom w:w="0" w:type="dxa"/>
          <w:right w:w="0" w:type="dxa"/>
        </w:tblCellMar>
      </w:tblPr>
      <w:tblGrid>
        <w:gridCol w:w="4100"/>
        <w:gridCol w:w="3350"/>
      </w:tblGrid>
      <w:tr>
        <w:trPr/>
        <w:tc>
          <w:tcPr>
            <w:tcW w:w="41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PROSPECTUS SUPPLEMENT</w:t>
            </w:r>
          </w:p>
        </w:tc>
        <w:tc>
          <w:tcPr>
            <w:tcW w:w="335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Filed Pursuant to Rule 424(b)(7)</w:t>
            </w:r>
          </w:p>
        </w:tc>
      </w:tr>
      <w:tr>
        <w:trPr/>
        <w:tc>
          <w:tcPr>
            <w:tcW w:w="41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 prospectus dated December 15, 2025</w:t>
            </w:r>
          </w:p>
        </w:tc>
        <w:tc>
          <w:tcPr>
            <w:tcW w:w="335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Registration Statement No. 333-291991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2,337,662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CIRCLE8 GROUP, INC.</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supplement relates to the offering of 2,337,662 </w:t>
      </w:r>
      <w:r>
        <w:rPr>
          <w:rFonts w:ascii="Times New Roman;Times;Serif" w:hAnsi="Times New Roman;Times;Serif"/>
          <w:b w:val="false"/>
          <w:i w:val="false"/>
          <w:caps w:val="false"/>
          <w:smallCaps w:val="false"/>
          <w:sz w:val="20"/>
          <w:shd w:fill="FFFFFF" w:val="clear"/>
        </w:rPr>
        <w:t xml:space="preserve">shares (the “Shares”) of Common Stock, par value $0.00001 per share (“Common Stock”) of Circle8 Group Inc., a Delaware corporation (the “Company”) to </w:t>
      </w:r>
      <w:r>
        <w:rPr>
          <w:rFonts w:ascii="Times New Roman;Times;Serif" w:hAnsi="Times New Roman;Times;Serif"/>
          <w:b w:val="false"/>
          <w:i w:val="false"/>
          <w:caps w:val="false"/>
          <w:smallCaps w:val="false"/>
          <w:sz w:val="20"/>
        </w:rPr>
        <w:t>SPP Credit Advisors, LLC or its permitted transferees (the “Selling Stockholder”)</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The shares of Common Stock offered hereby </w:t>
      </w:r>
      <w:r>
        <w:rPr>
          <w:rFonts w:ascii="Times New Roman;Times;Serif" w:hAnsi="Times New Roman;Times;Serif"/>
          <w:b w:val="false"/>
          <w:i w:val="false"/>
          <w:caps w:val="false"/>
          <w:smallCaps w:val="false"/>
          <w:sz w:val="20"/>
          <w:shd w:fill="FFFFFF" w:val="clear"/>
        </w:rPr>
        <w:t xml:space="preserve">(the “Shares) are being issued to the Stockholder pursuant to the applicable terms of the litigation Settlement Agreement, dated August 7, 2026, as amended, in consideration of Legal Fee Shares described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shares of our Common Stock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“CIRC.” On October 6, 2026 the last reported sale price prior to the date of this prospectus supplement, of the Common Stock on the Nasdaq Global Market was $0.49.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prospectus supplement, as well as the documents incorporated or deemed to be incorporated by reference herein or therein, before you purchase any of our securities. Other than the Stockholder, there are no underwriters, dealers and agents participating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is highly speculative and involves a high degree of risk. You should carefully read and consider the “Risk Factors” beginning on page S-5 of this prospectus supplement before investing.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October 7</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825"/>
        <w:gridCol w:w="455"/>
      </w:tblGrid>
      <w:tr>
        <w:trPr/>
        <w:tc>
          <w:tcPr>
            <w:tcW w:w="2825" w:type="dxa"/>
            <w:tcBorders/>
            <w:vAlign w:val="center"/>
          </w:tcPr>
          <w:p>
            <w:pPr>
              <w:pStyle w:val="TableContents"/>
              <w:bidi w:val="0"/>
              <w:spacing w:before="0" w:after="283"/>
              <w:ind w:left="0" w:right="0" w:hanging="266"/>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ind w:left="0" w:right="0" w:hanging="266"/>
              <w:jc w:val="center"/>
              <w:rPr>
                <w:rFonts w:ascii="Times New Roman;Times;Serif" w:hAnsi="Times New Roman;Times;Serif"/>
                <w:b/>
                <w:sz w:val="20"/>
              </w:rPr>
            </w:pPr>
            <w:r>
              <w:rPr>
                <w:rFonts w:ascii="Times New Roman;Times;Serif" w:hAnsi="Times New Roman;Times;Serif"/>
                <w:b/>
                <w:sz w:val="20"/>
              </w:rPr>
              <w:t>Page</w:t>
            </w:r>
          </w:p>
        </w:tc>
      </w:tr>
      <w:tr>
        <w:trPr/>
        <w:tc>
          <w:tcPr>
            <w:tcW w:w="2825"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sz w:val="20"/>
                </w:rPr>
                <w:t>About this Prospectus Supplement</w:t>
              </w:r>
            </w:hyperlink>
          </w:p>
        </w:tc>
        <w:tc>
          <w:tcPr>
            <w:tcW w:w="455" w:type="dxa"/>
            <w:tcBorders/>
            <w:shd w:fill="CCEEFF" w:val="clear"/>
            <w:vAlign w:val="center"/>
          </w:tcPr>
          <w:p>
            <w:pPr>
              <w:pStyle w:val="TableContents"/>
              <w:bidi w:val="0"/>
              <w:spacing w:before="0" w:after="283"/>
              <w:ind w:left="0" w:right="0" w:hanging="266"/>
              <w:jc w:val="center"/>
              <w:rPr>
                <w:rFonts w:ascii="Times New Roman;Times;Serif" w:hAnsi="Times New Roman;Times;Serif"/>
              </w:rPr>
            </w:pPr>
            <w:r>
              <w:rPr>
                <w:rFonts w:ascii="Times New Roman;Times;Serif" w:hAnsi="Times New Roman;Times;Serif"/>
              </w:rPr>
              <w:t>S-ii </w:t>
            </w:r>
          </w:p>
        </w:tc>
      </w:tr>
      <w:tr>
        <w:trPr/>
        <w:tc>
          <w:tcPr>
            <w:tcW w:w="2825"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sz w:val="20"/>
                </w:rPr>
                <w:t>Use of Proceeds</w:t>
              </w:r>
            </w:hyperlink>
          </w:p>
        </w:tc>
        <w:tc>
          <w:tcPr>
            <w:tcW w:w="455" w:type="dxa"/>
            <w:tcBorders/>
            <w:shd w:fill="FFFFFF" w:val="clear"/>
            <w:vAlign w:val="center"/>
          </w:tcPr>
          <w:p>
            <w:pPr>
              <w:pStyle w:val="TableContents"/>
              <w:bidi w:val="0"/>
              <w:spacing w:before="0" w:after="283"/>
              <w:ind w:left="0" w:right="0" w:hanging="266"/>
              <w:jc w:val="center"/>
              <w:rPr>
                <w:rFonts w:ascii="Times New Roman;Times;Serif" w:hAnsi="Times New Roman;Times;Serif"/>
              </w:rPr>
            </w:pPr>
            <w:r>
              <w:rPr>
                <w:rFonts w:ascii="Times New Roman;Times;Serif" w:hAnsi="Times New Roman;Times;Serif"/>
              </w:rPr>
              <w:t>S-1</w:t>
            </w:r>
          </w:p>
        </w:tc>
      </w:tr>
      <w:tr>
        <w:trPr/>
        <w:tc>
          <w:tcPr>
            <w:tcW w:w="2825"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sz w:val="20"/>
                </w:rPr>
                <w:t>Selling Stockholder</w:t>
              </w:r>
            </w:hyperlink>
          </w:p>
        </w:tc>
        <w:tc>
          <w:tcPr>
            <w:tcW w:w="455" w:type="dxa"/>
            <w:tcBorders/>
            <w:shd w:fill="CCEEFF" w:val="clear"/>
            <w:vAlign w:val="center"/>
          </w:tcPr>
          <w:p>
            <w:pPr>
              <w:pStyle w:val="TableContents"/>
              <w:bidi w:val="0"/>
              <w:spacing w:before="0" w:after="283"/>
              <w:ind w:left="0" w:right="0" w:hanging="266"/>
              <w:jc w:val="center"/>
              <w:rPr>
                <w:rFonts w:ascii="Times New Roman;Times;Serif" w:hAnsi="Times New Roman;Times;Serif"/>
              </w:rPr>
            </w:pPr>
            <w:r>
              <w:rPr>
                <w:rFonts w:ascii="Times New Roman;Times;Serif" w:hAnsi="Times New Roman;Times;Serif"/>
              </w:rPr>
              <w:t>S-1</w:t>
            </w:r>
          </w:p>
        </w:tc>
      </w:tr>
      <w:tr>
        <w:trPr/>
        <w:tc>
          <w:tcPr>
            <w:tcW w:w="2825"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5555"/>
        <w:gridCol w:w="275"/>
      </w:tblGrid>
      <w:tr>
        <w:trPr/>
        <w:tc>
          <w:tcPr>
            <w:tcW w:w="555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w:t>
            </w:r>
          </w:p>
        </w:tc>
      </w:tr>
      <w:tr>
        <w:trPr/>
        <w:tc>
          <w:tcPr>
            <w:tcW w:w="555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55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Where You Can Find More Information: Incorporation by Reference</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555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Cautionary Note Regarding Forward-Looking Statements</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555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r>
        <w:trPr/>
        <w:tc>
          <w:tcPr>
            <w:tcW w:w="555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555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rPr>
                <w:t>Market Price of Our Common Stock</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5555"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rPr>
                <w:t>Description of Securities</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555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Common Stock</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555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 xml:space="preserve">Description of Preferred Stock </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555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rPr>
                <w:t>Description of Warrants</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555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Rights</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555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Description of Units</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555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Plan of Distribution</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555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rPr>
                <w:t>Dividend Policy</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5555"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Legal Matters</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555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Experts</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changes in the Company’s affairs have occurred since December 31, 2025, which have not been described in a report on Form 10-Q or Form 8-K filed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_001"/>
      <w:bookmarkEnd w:id="4"/>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supplement, the documents incorporated or deemed to be incorporated by reference herein or therein, and any free writing prospectus supplement prepared by us or on our behalf. We have not authorized anyone to provide you with information different than that contained or incorporated by reference into this prospectus supplement and any free writing prospectus supplement that we have authorized for use in connection with this offering (this “Offering”). We take no responsibility for, and can provide no assurance as to the reliability of, any other information that others may give you. You should assume that the information appearing in this prospectus supplement, the documents incorporated by reference herein, and in any free writing prospectus supplement that we have authorized for use in connection with this Offering is accurate only as of the date of those respective documents. Our business, financial condition, results of operations and prospects may have changed since those dates. You should read this prospectus supplement, the documents incorporated by reference herein, and any free writing prospectus supplement that we have authorized for use in connection with this Offering in their entirety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should read and consider the information in the documents to which we have referred you in the section of this prospectus supplement entitled “Where You Can Find More Information; Incorporated by Reference” and the sections of the accompanying prospectus entitled “Where You Can Find More Information; 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accompanying prospectus form a part of registration statements on Form S-3 that we filed with the Securities and Exchange Commission (the “Commission”)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to, update or change information contained in the accompanying prospectus. To the extent that any statement we make in this prospectus supplement is inconsistent with the statements made in the prospectus, this prospectus supplement will be deemed to modify or supersede those made in the accompanying prospectus and such documents incorporated by reference herein and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this prospectus supplement and the offering of the Shares of Common Stock of the Company registered hereby in certain jurisdictions or to certain persons within such jurisdictions may be restricted by law. Persons outside the United States who come into possession of this prospectus supplement must inform themselves about and observe any restrictions relating to the offering of the Shares and the distribution of this prospectus supplement outside of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consider any information in this prospectus supplement or the registration statement of which it forms a part to be investment, legal or tax advice. You should consult your own counsel, accountants and other advisers for legal, tax, business, financial and related advice regarding the purchase of the Shares offered by this prospectus supplement. If the description of the Offering varies between this prospectus supplement and the accompanying Registration Statement, you should rely on the information contained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this prospectus supplement or the context otherwise required, all references to “we,” “us,” “our,” “the Company” and “Circle8 Group” refer to Circle8 Group, Inc.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various trademarks, service marks and trade names that we use in connection with the operation of our business. This prospectus supplement may also contain trademarks, service marks and trade names of third parties, which are the property of their respective owners. Our use or display of third parties’ trademarks, service marks, trade names or products in this prospectus supplement is not intended to, and does not imply a relationship with, or endorsement or sponsorship by us. Solely for convenience, the trademarks, service marks and trade names referred to in this prospectus supplement may appear without the ®, TM or SM symbols, but such references are not intended to indicate, in any way, that we will not assert, to the fullest extent under applicable law, our rights or the right of the applicable licensor to these trademarks, service 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_002"/>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Settlement Agreement with SPP Credit Advisors, LLC, (the “Selling Stockholder’) pursuant to which, an aggregate of 2,337,662 Shares of the Company’s Common Stock were issued to the Selling Stockholder in consideration of SPP Legal Fees of up to $1,800,000. We will not receive any of the proceeds from the sale of shares of Common Stock by the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_003"/>
      <w:bookmarkEnd w:id="6"/>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the offer and sale from time to time of up to 2,337,662 shares of Common Stock by the Selling Stockholder identified in the table below. The shares of Common Stock offered by the Selling Stockholder are those that were pursuant to the Settlement Agreement, dated as of August 7, 2026, as amended (the “Settlement Agreement”), by and among Lyneer Investments, LLC, a Delaware limited liability company (“Lyneer Investments”), Lyneer Staffing Solutions, LLC, a Delaware limited liability company (“Lyneer Staffing”), and Lyneer Holdings, Inc., a Delaware corporation (“Lyneer Holdings,” and together with Lyneer Investments and Lyneer Staffing, the “Companies”), the Company and SPP Credit Advisors, LLC, in its capacity as the Administrative Agent for itself and the lenders under the Bridge Loan Credit Agreement (as defined in the Settlement Agreement) and in its capacity as the Agent for itself and the secured parties under the Term Loan Credit Agreement (as defined in the Settlement Agreement) (“SPP”).</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Settlement Agreement, the Company issued to SPP 21,983,926 New Shares and an additional 2,337,662 Legal Fee Shares in consideration of up to $1,800,000 of accrued Legal Fees.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Agreement grants certain registration rights to SPP and requires the Company to file this prospectus supplement to its effective Form S-3 shelf registration statement (File No. 333-291991) providing for the sale from time to time of the Legal Fee Shares by SPP.</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below table (other than the percentages of our outstanding Common Stock beneficially owned) in respect of the Selling Stockholder was furnished by or on behalf of the Selling Stockholder and is as of October 7, 2026.</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not obligated to sell any of the Common Stock offered by this prospectus supplement. Because the Selling Stockholder may sell some or all of the Common Stock owned by it that are included in this prospectus supplement, and because there are currently no agreements, arrangements or understandings with respect to the sale of any such Common Stock, no estimate can be given as to the number of shares of Common Stock covered by this prospectus supplement that will be held by the Selling Stockholder upon termination of this offering. Therefore, for the purposes of the following table, we have assumed that the Selling Stockholder will sell all of the Common Stock it beneficially owns that are covered by this prospectus supplement, but will not sell any other Common Stock that it may currently own.</w:t>
      </w:r>
    </w:p>
    <w:p>
      <w:pPr>
        <w:pStyle w:val="TextBody"/>
        <w:bidi w:val="0"/>
        <w:spacing w:before="0" w:after="0"/>
        <w:ind w:left="0" w:right="0" w:firstLine="490"/>
        <w:jc w:val="both"/>
        <w:rPr>
          <w:caps w:val="false"/>
          <w:smallCaps w:val="false"/>
        </w:rPr>
      </w:pPr>
      <w:r>
        <w:rPr>
          <w:caps w:val="false"/>
          <w:smallCaps w:val="false"/>
        </w:rPr>
        <w:t> </w:t>
      </w:r>
    </w:p>
    <w:tbl>
      <w:tblPr>
        <w:tblW w:w="9527" w:type="dxa"/>
        <w:jc w:val="left"/>
        <w:tblInd w:w="0" w:type="dxa"/>
        <w:tblLayout w:type="fixed"/>
        <w:tblCellMar>
          <w:top w:w="0" w:type="dxa"/>
          <w:left w:w="0" w:type="dxa"/>
          <w:bottom w:w="28" w:type="dxa"/>
          <w:right w:w="0" w:type="dxa"/>
        </w:tblCellMar>
      </w:tblPr>
      <w:tblGrid>
        <w:gridCol w:w="2345"/>
        <w:gridCol w:w="60"/>
        <w:gridCol w:w="61"/>
        <w:gridCol w:w="1127"/>
        <w:gridCol w:w="312"/>
        <w:gridCol w:w="61"/>
        <w:gridCol w:w="61"/>
        <w:gridCol w:w="450"/>
        <w:gridCol w:w="215"/>
        <w:gridCol w:w="60"/>
        <w:gridCol w:w="108"/>
        <w:gridCol w:w="1772"/>
        <w:gridCol w:w="60"/>
        <w:gridCol w:w="60"/>
        <w:gridCol w:w="102"/>
        <w:gridCol w:w="1883"/>
        <w:gridCol w:w="60"/>
        <w:gridCol w:w="60"/>
        <w:gridCol w:w="440"/>
        <w:gridCol w:w="230"/>
      </w:tblGrid>
      <w:tr>
        <w:trPr/>
        <w:tc>
          <w:tcPr>
            <w:tcW w:w="234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Selling Securityholder</w:t>
            </w:r>
          </w:p>
        </w:tc>
        <w:tc>
          <w:tcPr>
            <w:tcW w:w="60" w:type="dxa"/>
            <w:tcBorders/>
            <w:tcMar>
              <w:bottom w:w="0" w:type="dxa"/>
            </w:tcMar>
            <w:vAlign w:val="center"/>
          </w:tcPr>
          <w:p>
            <w:pPr>
              <w:pStyle w:val="TableContents"/>
              <w:bidi w:val="0"/>
              <w:spacing w:before="0" w:after="283"/>
              <w:jc w:val="left"/>
              <w:rPr/>
            </w:pPr>
            <w:r>
              <w:rPr/>
              <w:t> </w:t>
            </w:r>
          </w:p>
        </w:tc>
        <w:tc>
          <w:tcPr>
            <w:tcW w:w="2072" w:type="dxa"/>
            <w:gridSpan w:val="6"/>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br/>
              <w:t>Beneficially Owned</w:t>
              <w:br/>
              <w:t xml:space="preserve">Before This Offering </w:t>
            </w:r>
            <w:r>
              <w:rPr>
                <w:rFonts w:ascii="Times New Roman;Times;Serif" w:hAnsi="Times New Roman;Times;Serif"/>
                <w:b/>
                <w:position w:val="7"/>
                <w:sz w:val="16"/>
                <w:sz w:val="20"/>
              </w:rPr>
              <w:t>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w:t>
              <w:br/>
              <w:t>of Common</w:t>
              <w:br/>
              <w:t>Stock Offered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w:t>
              <w:br/>
              <w:t>Beneficially Owned</w:t>
              <w:br/>
              <w:t>After This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0" w:type="dxa"/>
            <w:gridSpan w:val="2"/>
            <w:tcBorders>
              <w:bottom w:val="single" w:sz="12" w:space="0" w:color="000000"/>
            </w:tcBorders>
            <w:vAlign w:val="center"/>
          </w:tcPr>
          <w:p>
            <w:pPr>
              <w:pStyle w:val="TableContents"/>
              <w:bidi w:val="0"/>
              <w:spacing w:before="0" w:after="283"/>
              <w:ind w:left="0" w:right="0" w:hanging="240"/>
              <w:jc w:val="left"/>
              <w:rPr/>
            </w:pPr>
            <w:r>
              <w:rPr/>
              <w:t> </w:t>
            </w:r>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SPP Credit Advisors, LLC</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24,321,588</w:t>
            </w:r>
          </w:p>
        </w:tc>
        <w:tc>
          <w:tcPr>
            <w:tcW w:w="31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position w:val="8"/>
                <w:sz w:val="19"/>
              </w:rPr>
              <w:t>(3)</w:t>
            </w:r>
            <w:r>
              <w:rPr>
                <w:rFonts w:ascii="Times New Roman;Times;Serif" w:hAnsi="Times New Roman;Times;Serif"/>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2,337,662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88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21,983,926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ind w:left="360" w:right="0" w:hanging="0"/>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beneficial ownership before this offering is calculated based on 117,494,585 shares of our common stock outstanding as of October 7, 2026.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for SPP Credit Advisors, LLC is c/o 550 Fifth Avenue, 12th Floor New York, New York 10036. C. Todd Kumble, Fund Manager has the power to vote and dispose of the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21,983,926 New Shares and 2,337,662 SPP Legal Shares issued under the Settlement Agreement, as amended. Pursuant to the terms of the Settlement Agreement, SPP agreed to make commercially reasonable efforts to sell New Shares and SPP Legal Shares in reasonable amounts on a weekly basis.</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004"/>
      <w:bookmarkEnd w:id="7"/>
      <w:r>
        <w:rPr>
          <w:rFonts w:ascii="Times New Roman;Times;Serif" w:hAnsi="Times New Roman;Times;Serif"/>
          <w:b/>
          <w:i w:val="false"/>
          <w:caps w:val="false"/>
          <w:smallCaps w:val="false"/>
          <w:sz w:val="20"/>
        </w:rPr>
        <w:t>PLAN OF DISTRIBUTION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from time to time, sell any or all of the shares of Common Stock beneficially owned by it and offered hereby.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may be made on one or more exchanges or in the over-the-counter market or otherwise, at prices and at terms then prevailing or at prices related to the then current market price, or in negotiated transactions.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effect such transactions by selling the shares of Common Stock to or through broker-dealers. The shares of Common Stock may be sold through broker-dealers by one or more of, or a combination of, the following: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block trade in which the broker-dealer so engaged will attempt to sell the shares of Common Stock as agent but may position and resell a portion of the block as principal to facilitate the transaction;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such broker-dealer for its account;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 solicits purchasers;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privately negotiated transactions.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shares under Rule 144 under the Securities Act, if available, rather than under this prospectus supplement.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also may transfer the shares of Common Stock in other circumstances, in which case the transferees or other successors in interest will be the selling beneficial owners for purposes of this prospectus supplement.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enter into derivative or hedging transactions with respect to the shares or pledge the shares to secure debts and other obligations (including obligations associated with derivatives transactions).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agents or derivatives or hedging counterparties that are involved in selling the shares may be deemed to be “underwriters” within the meaning of the Securities Act in connection with such sales. In such event, any commissions received by such broker-dealers, agents or counterparties and any profit on the resale of the shares purchased by them may be deemed to be underwriting commissions or discounts under the Securities Act.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has informed us that it does not have any agreement or understanding, directly or indirectly, with any person to distribute the Common Stock. If the Selling Stockholder notifies us that a material arrangement has been entered into with a broker-dealer or other person deemed an “underwriter” for the sale of shares through a block trade, special offering or secondary distribution, a purchase by a broker or dealer or certain derivative or hedging transactions, we may be required to file a prospectus supplement pursuant to the applicable rules promulgated under the Securities Act.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Stockholder will sell any or all of the shares of Common Stock registered pursuant to this prospectus supplement and the registration statement of which the accompanying prospectus forms a part.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registration expenses relating to the registration of the shares of Common Stock covered by this prospectus supplement, other than underwriting discounts and selling commissions. We have agreed to indemnify the Selling Stockholder against certain losses, claims, damages and liabilities, including liabilities under the Securities Act, or the Selling Stockholder may be entitled to contribution. We may be indemnified by the Selling Stockholder against civil liabilities, including liabilities under the Securities Act that may arise from written information furnished to us by the Selling Stockholder specifically for use in this prospectus supplement.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restrict or suspend offers and sales or other dispositions of the shares under this prospectus supplement, at any time from and after the filing date of this prospectus supplement, subject to certain terms and conditions. In the event of such restriction or suspension, the Selling Stockholder will not be able to offer or sell or otherwise dispose of the shares of Common Stock under this prospectus supplement.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this prospectus supplement, the shares of Common Stock will be freely tradeable in the hands of persons other than our affiliates.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Subscription Rights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Circle8 Group,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15,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1"/>
      <w:bookmarkEnd w:id="8"/>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utilizing a “shelf” registration process. Under this shelf registration process, we may, from time to time, sell any combination of the securities described in this prospectus in one or more offerings.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sell securities, we will provide a prospectus supplement or a free writing prospectus that will contain specific information about the terms of that offering. The prospectus supplement or free writing prospectus may also add, update or change information contained in this prospectus. You should read both this prospectus, any prospectus supplement and any free writing prospectus together with the additional information described under the heading “Where You Can Find More Information” and “Incorporation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not authorized anyone to provide any information other than that contained or incorporated by reference in this prospectus or in any related prospectus supplement or free writing prospectus prepared by us or on our behalf or to which we have referred you. We take no responsibility for, and can provide no assurance as to the reliability of, any other information that others may give you. We are offering to sell securities only in jurisdictions where offers and sales are permitted.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9" w:name="a_002"/>
      <w:bookmarkEnd w:id="9"/>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information contained elsewhere in this prospectus. The summary may not contain all of the information that may be important to you. You should read this entre prospectus carefully, including our financial statements and related notes thereto and the documents incorporated by reference in this prospectus and the risks described below under “Risk factors.” And as described or may be described in any subsequent quarterly report on Form 10-Q or Current Report on Form 8-K, as well as in any applicable prospectus supplement and contained or to be contained in our filings with the SEC and incorporated by reference in this prospectus. We note that our actual results and future events may differ significantly based upon a number of factors. The reader should not put undue reliance on the forward-looking statements in this document, which speak only as of the date on the cover of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In this prospectus, unless otherwise noted, the terms “the Company,” “Circle8 Group,” “we,” “us,” and “our” refer to Circle8 Group, Inc.</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Circle8 Group, Inc. (“Circle8 Group”) (Nasdaq: CIRC), through its subsidiaries, is a national strategic staffing firm servicing the commercial, professional, finance, direct placement, and managed service provider verticals. Lyneer was formed under the principles of honesty and integrity, and with the view of becoming the preferred outside employer of choice. Since its formation, Lyneer has grown from a regional operation to a national staffing firm with offices and geographic reach across the United States. Lyneer primarily places individuals in accounting and finance, administrative and clerical, information technology, legal, light industrial, and medical roles. Circle 8 Group’s approximately 300 employees generated over $400 million in revenue for the year ended December 31,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With the addition of Circle8 Group B.V. (“Circle8”) on January 23, 2026, Circle8 Group extended its capabilities into specialized high-growth IT and technology staffing capabilities across Europe, complementing Circle8 Group’s North American industrial staffing operations. Circle 8 is a European IT-technology talent and consulting enablement platform that provides specialized workforce solutions to enterprises, technology companies, financial institutions, and public-sector organizations. Circle8 focuses on sourcing, deploying, and managing highly skilled professionals in information technology and related digital disciplines. Circle8 is one of the fastest-growing IT and technology staffing companies, operating across Europe through a portfolio of specialized brands. Circle8 manages over 8,500 technology professionals and specializes in software development, data analytics cybersecurity, project management, and emerging technologies. Circle8 is founder-led and will continue to be led by Mr. Guus Franke who joined Circle 8 Group’s Board of Directors as Executive Chairman and subsequently Chief Executive Officer.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management team of Circle8 Group has over 200 combined years of specific corporate management and investment banking experience. Circle 8 Group’s management has developed long-standing relationships in the staffing industry as well as the institutional investment arena to raise capital for publicly-listed entities to expand.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Corporate Information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in Delaware under the name SeqLL Inc. on April 1, 2014. On June 13, 2024, the Company changed its name from SeqLL Inc. to Atlantic International Corp. On June 4, 2024 the Company, SeqLL Merger LLC, a Delaware limited liability company and wholly-owned subsidiary of the Company (“Purchaser Sub”), Atlantic Acquisition Corp, a Delaware corporation “Atlantic”, Atlantic Merger LLC, a Delaware limited liability company and a majority-owned subsidiary of Atlantic (“Atlantic Merger Sub”), Lyneer Investments, LLC, a Delaware limited liability company (“Lyneer”), and IDC Technologies, a California corporation (“IDC”), entered into the Merger Agreement pursuant to which (i) Atlantic Merger Sub was merged with and into Lyneer, with Lyneer continuing as the surviving entity and (ii) Purchaser Sub was merged with and into Lyneer with Lyneer continuing as the surviving entity and as a wholly-owned subsidiary of the Company, collectively by referred to as the Merger.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23, 2026 (the “Closing Date”), the Company completed the acquisition (the “Acquisition”) of Circle8, a company organized under the laws of the Netherlands, pursuant to the terms of the Acquisition Agreement, dated January 22, 2026 (the “Acquisition Agreement”), by and among the Company, Axiom Partners GmbH (“Axiom”) and Circle8. Capitalized terms used herein, but not otherwise defined, have the meaning ascribed to such terms in the Acquisition Agreement, a copy of which has been filed with the SEC on Form 8-K on January 28,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aggregate consideration delivered to Axiom (the “Purchase Price”) for the Circle8 equity was delivered as follows: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issued to Guus Franke (or his assignees) 12,516,070 shares of Common Stock (an acquisition date fair value of $48.3 million based on the Company’s closing share price of $3.86 as of January 23. 2026), par value $0.00001 per share (“Common Stock”) equal to 19.99% of the issued and outstanding shares of Common Stock as of 12:01 a.m. on the Closing Date (the “Initial Share Consideration”) in compliance with Nasdaq Listing Rule 5635;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issued a convertible promissory note (the “Convertible Note”) to Axiom in the principal amount of $161,961,751.20 convertible into an aggregate of 53,291,744 shares of Common Stock equal to (i) 65,807,814 shares of Common Stock on a Fully Diluted Basis minus (ii) the 19.99% shares (12,516,070) of Common Stock issued to Mr. Franke as Initial Share Consideration (the “Convertible Note Consideration”). The Convertible Note will automatically convert into common shares of the Company upon the approval of the issuance of the shares by the shareholders of the Company.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29, 2026, the Company filed with the Secretary of State of the State of Delaware an amendment to its Amended and Restated Certificate of Incorporation, as amended (the “Amendment”), to change the name of the Company from “Atlantic International Corp.” to “Circle8 Group, Inc.” Concurrently, the Company’s trading symbol on the NASDAQ Stock Market was changed to “CIRC,” effective on July 2,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Our corporate headquarters are located at 270 Sylvan Avenue, Suite 2230, Englewood Cliffs, New Jersey 07632. Our main telephone number at that address is (201) 899-4470, and our website address is </w:t>
      </w:r>
      <w:r>
        <w:rPr>
          <w:rFonts w:ascii="Times New Roman;Times;Serif" w:hAnsi="Times New Roman;Times;Serif"/>
          <w:b w:val="false"/>
          <w:i/>
          <w:caps w:val="false"/>
          <w:smallCaps w:val="false"/>
          <w:sz w:val="20"/>
          <w:bdr w:val="single" w:sz="12" w:space="1" w:color="000000"/>
        </w:rPr>
        <w:t>www.circle8group.com</w:t>
      </w:r>
      <w:r>
        <w:rPr>
          <w:rFonts w:ascii="Times New Roman;Times;Serif" w:hAnsi="Times New Roman;Times;Serif"/>
          <w:b w:val="false"/>
          <w:i w:val="false"/>
          <w:caps w:val="false"/>
          <w:smallCaps w:val="false"/>
          <w:sz w:val="20"/>
          <w:bdr w:val="single" w:sz="12" w:space="1" w:color="000000"/>
        </w:rPr>
        <w:t>. The information on our website is not part of this prospectus. We have included our website address as a factual reference and do not intend it to be an active link to our website.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 and a Smaller Reporting Company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These provisions include: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about our executive compensation arrangements;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hold advisory votes on executive compensation or to obtain stockholder approval of any golden parachute arrangements not previously approved;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exemption from the auditor attestation requirement in the assessment of our internal control over financial reporting.</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3"/>
      <w:bookmarkEnd w:id="10"/>
      <w:r>
        <w:rPr>
          <w:rFonts w:ascii="Times New Roman;Times;Serif" w:hAnsi="Times New Roman;Times;Serif"/>
          <w:b/>
          <w:i w:val="false"/>
          <w:caps w:val="false"/>
          <w:smallCaps w:val="false"/>
          <w:sz w:val="20"/>
        </w:rPr>
        <w:t>WHERE YOU CAN FIND MORE INFORMATION;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 If you do not have Internet access, requests for copies of such documents should be directed to Michael S. Tenore, the Company’s General Counsel, at the Company’s headquarters, located at 270 Sylvan Avenue, Suite 2230, Englewood Cliffs, NJ 07632.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https://www.atlantic-international.com. The information on, or accessible through, our website, however, is not, and should not be deemed to be,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and does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additional documents (other than current reports furnished under Item 2.02 or Item 7.01 of Form 8-K and exhibits on such form that are related to such items)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supplement, or the date of the documents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this prospectus is delivered, upon written or oral request, at no cost to the requester, a copy of any and all of the information that is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incorporates by reference the documents set forth below that have previously been filed with the SEC since the end of the fiscal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45"/>
        <w:gridCol w:w="67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before="0" w:after="283"/>
              <w:jc w:val="both"/>
              <w:rPr/>
            </w:pPr>
            <w:r>
              <w:rPr>
                <w:rFonts w:ascii="Times New Roman;Times;Serif" w:hAnsi="Times New Roman;Times;Serif"/>
                <w:sz w:val="20"/>
              </w:rPr>
              <w:t xml:space="preserve">Circle8 Group Annual Report on </w:t>
            </w:r>
            <w:hyperlink r:id="rId2">
              <w:r>
                <w:rPr>
                  <w:rStyle w:val="InternetLink"/>
                  <w:rFonts w:ascii="Times New Roman;Times;Serif" w:hAnsi="Times New Roman;Times;Serif"/>
                  <w:sz w:val="20"/>
                </w:rPr>
                <w:t>Form 10-K</w:t>
              </w:r>
            </w:hyperlink>
            <w:r>
              <w:rPr>
                <w:rFonts w:ascii="Times New Roman;Times;Serif" w:hAnsi="Times New Roman;Times;Serif"/>
                <w:sz w:val="20"/>
              </w:rPr>
              <w:t xml:space="preserve"> filed with the SEC on April,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5" w:type="dxa"/>
            <w:tcBorders/>
            <w:vAlign w:val="center"/>
          </w:tcPr>
          <w:p>
            <w:pPr>
              <w:pStyle w:val="TableContents"/>
              <w:bidi w:val="0"/>
              <w:spacing w:before="0" w:after="283"/>
              <w:jc w:val="both"/>
              <w:rPr/>
            </w:pPr>
            <w:r>
              <w:rPr>
                <w:rFonts w:ascii="Times New Roman;Times;Serif" w:hAnsi="Times New Roman;Times;Serif"/>
                <w:sz w:val="20"/>
              </w:rPr>
              <w:t xml:space="preserve">Circle8 Group Quarterly Reports on Form 10-Q for the quarters ended March 31, 2026 and June 30, 2026, filed with the SEC on </w:t>
            </w:r>
            <w:hyperlink r:id="rId3">
              <w:r>
                <w:rPr>
                  <w:rStyle w:val="InternetLink"/>
                  <w:rFonts w:ascii="Times New Roman;Times;Serif" w:hAnsi="Times New Roman;Times;Serif"/>
                  <w:sz w:val="20"/>
                </w:rPr>
                <w:t>June 22, 2026</w:t>
              </w:r>
            </w:hyperlink>
            <w:r>
              <w:rPr>
                <w:rFonts w:ascii="Times New Roman;Times;Serif" w:hAnsi="Times New Roman;Times;Serif"/>
                <w:sz w:val="20"/>
              </w:rPr>
              <w:t xml:space="preserve"> and </w:t>
            </w:r>
            <w:hyperlink r:id="rId4">
              <w:r>
                <w:rPr>
                  <w:rStyle w:val="InternetLink"/>
                  <w:rFonts w:ascii="Times New Roman;Times;Serif" w:hAnsi="Times New Roman;Times;Serif"/>
                  <w:sz w:val="20"/>
                </w:rPr>
                <w:t>August 19, 2026</w:t>
              </w:r>
            </w:hyperlink>
            <w:r>
              <w:rPr>
                <w:rFonts w:ascii="Times New Roman;Times;Serif" w:hAnsi="Times New Roman;Times;Serif"/>
                <w:sz w:val="20"/>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4" w:type="dxa"/>
            <w:tcBorders/>
            <w:vAlign w:val="center"/>
          </w:tcPr>
          <w:p>
            <w:pPr>
              <w:pStyle w:val="TableContents"/>
              <w:bidi w:val="0"/>
              <w:spacing w:before="0" w:after="283"/>
              <w:jc w:val="both"/>
              <w:rPr/>
            </w:pPr>
            <w:r>
              <w:rPr>
                <w:rFonts w:ascii="Times New Roman;Times;Serif" w:hAnsi="Times New Roman;Times;Serif"/>
                <w:sz w:val="20"/>
              </w:rPr>
              <w:t xml:space="preserve">Current reports on Form 8-K filed with the SEC on </w:t>
            </w:r>
            <w:hyperlink r:id="rId5">
              <w:r>
                <w:rPr>
                  <w:rStyle w:val="InternetLink"/>
                  <w:rFonts w:ascii="Times New Roman;Times;Serif" w:hAnsi="Times New Roman;Times;Serif"/>
                  <w:sz w:val="20"/>
                </w:rPr>
                <w:t>January 28, 2026</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February 3,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March 26,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April 3,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June 25,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July 1,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August 13,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August 19, 2026</w:t>
              </w:r>
            </w:hyperlink>
            <w:r>
              <w:rPr>
                <w:rFonts w:ascii="Times New Roman;Times;Serif" w:hAnsi="Times New Roman;Times;Serif"/>
                <w:sz w:val="20"/>
              </w:rPr>
              <w:t xml:space="preserve"> and </w:t>
            </w:r>
            <w:hyperlink r:id="rId13">
              <w:r>
                <w:rPr>
                  <w:rStyle w:val="InternetLink"/>
                  <w:rFonts w:ascii="Times New Roman;Times;Serif" w:hAnsi="Times New Roman;Times;Serif"/>
                  <w:sz w:val="20"/>
                </w:rPr>
                <w:t>September 11, 2026</w:t>
              </w:r>
            </w:hyperlink>
            <w:r>
              <w:rPr>
                <w:rFonts w:ascii="Times New Roman;Times;Serif" w:hAnsi="Times New Roman;Times;Serif"/>
                <w:sz w:val="20"/>
              </w:rPr>
              <w:t>, respectively; and</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3" w:type="dxa"/>
            <w:tcBorders/>
            <w:vAlign w:val="center"/>
          </w:tcPr>
          <w:p>
            <w:pPr>
              <w:pStyle w:val="TableContents"/>
              <w:bidi w:val="0"/>
              <w:spacing w:before="0" w:after="283"/>
              <w:jc w:val="both"/>
              <w:rPr/>
            </w:pPr>
            <w:r>
              <w:rPr>
                <w:rFonts w:ascii="Times New Roman;Times;Serif" w:hAnsi="Times New Roman;Times;Serif"/>
                <w:sz w:val="20"/>
              </w:rPr>
              <w:t xml:space="preserve">The descriptions of Circle8  Group’s Common Stock which is registered under Section 12 of the Exchange Act, in Circle8  Group’s registration statement on </w:t>
            </w:r>
            <w:hyperlink r:id="rId14">
              <w:r>
                <w:rPr>
                  <w:rStyle w:val="InternetLink"/>
                  <w:rFonts w:ascii="Times New Roman;Times;Serif" w:hAnsi="Times New Roman;Times;Serif"/>
                  <w:sz w:val="20"/>
                </w:rPr>
                <w:t>Form S-1</w:t>
              </w:r>
            </w:hyperlink>
            <w:r>
              <w:rPr>
                <w:rFonts w:ascii="Times New Roman;Times;Serif" w:hAnsi="Times New Roman;Times;Serif"/>
                <w:sz w:val="20"/>
              </w:rPr>
              <w:t xml:space="preserve"> (No. 333-280653), filed on July 2, 2024, including any amendments or reports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and we will provide you with, a copy of these filings, at no cost, by contacting us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Group,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Sylvan Avenue, Suite 2230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Englewood Cliffs, NJ</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(201) 899-4470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4"/>
      <w:bookmarkEnd w:id="11"/>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for purposes of the safe harbor provisions provided by Section 27 of the Securities Act of 1933, as amended (the “Securities Act”) and Section 21E of the Securities Exchange Act of 1934, as amended (the “Exchange Act”),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and the accuracy and completeness of the publicly available information with respect to the factors upon which our business strategy is based or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contained in our annual report on Form 10-K for the fiscal year ended December 31, 2025, and as described or may be described in any subsequent quarterly report on Form 10-Q, or current report on Form 8-K, as well as in any applicable prospectus supplement and contained or to be contained in our filings with the SEC and incorporated by reference in this prospectus, “Prospectus Summary,” and elsewhere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05"/>
      <w:bookmarkEnd w:id="12"/>
      <w:r>
        <w:rPr>
          <w:rFonts w:ascii="Times New Roman;Times;Serif" w:hAnsi="Times New Roman;Times;Serif"/>
          <w:b/>
          <w:i w:val="false"/>
          <w:caps/>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Prior to making a decision about investing in our securities, you should carefully consider the risks, uncertainties and assumptions set forth below as well as those discussed under “Part I—Item 1A—Risk Factors” of our most recent Annual Report on Form 10-K and under “Part II-Item 1A-Risk Factors” in our most recent Quarterly Reports on Form 10-Q and Current Reports on Form 8-K, filed subsequent to such Form 10-K all of which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Please also carefully read the sections titled “Cautionary Note Regarding Forward-Looking Statements,” “Where You Can Find More Information”;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Circle8’s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 has significant working capital needs and if it is unable to satisfy those needs from cash generated from its operations or borrowings under its debt instruments, Circle 8 Group shall be required to fund such shortfall.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requires significant amounts of working capital to operate its business. It often has high receivables from its customers. As a staffing company, it is prone to cash flow imbalances because it has to fund payroll payments to temporary workers before receiving payments from clients for its services. Cash flow imbalances also occur because it must pay temporary workers even when it has not been paid by its customers. If Circle8 experiences a significant and sustained drop in operating profits, or if there are unanticipated reductions in cash inflows or increases in cash outlays, it may be subject to cash shortfalls. If such a shortfall were to occur for even a brief period of time, it may have a significant adverse effect on Circle8’s business. In particular, Circle8 uses working capital to pay expenses relating to its temporary workers. As a result, Circle8 must maintain sufficient cash availability to pay temporary workers and fund related tax liabilities prior to receiving payment from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Axiom provided Circle8 with funding when such shortfalls occurred. However, under the Acquisition Agreement, Circle 8 Group is responsible for providing Circle8 with all funding, liquidity or similar payments in the ordinary course of business and as may be reasonably necessary or appropriate and as mutually agreed to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Circle8’s operating results tend to be unpredictable from quarter to quarter. Demand for its services is typically lower during traditional national vacation periods when customers and candidates are on vacation. No single quarter is predictive of results of future periods. Any extended period of time with low operating results or cash flow imbalances could have a material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derives working capital for its operations through cash generated by its operating activities, equity raises, and borrowings under its debt instruments. If its working capital needs increase in the future, Circle8 may be forced to seek additional sources of capital, which may not be available on commercially reasonable terms. The amount Circle8 is entitled to borrow under its debt instruments is calculated monthly based on the aggregate value of certain eligible trade accounts receivable generated from its operations, which are affected by financial, business, economic and other factors, as well as by the daily timing of cash collections and cash outflows. The aggregate value of eligible accounts receivable may not be adequate to allow for borrowings for other corporate purposes, such as capital expenditures or growth opportunities, which could reduce its ability to react to changes in the market or industry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 may lack the speed, agility, and resiliency to effectively operate its business and respond to the needs of its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Circle8 may not be able to respond with sufficient speed and agility to the needs of its diverse clients, which span all industries and whose needs may change rapidly as their businesses and industries evolve. The size and breadth of Circle8’s organization, comprising over 8,500 professionals deployed over approximately eight offices in six European countries, may make it difficult for the Company to effectively manage its resources, to maintain its corporate culture throughout the organization, to drive service improvements and to provide coordinated solutions to its clients who require Circle8’s services in multiple locations. For example, client demands for uniform service across borders may be difficult to satisfy because of variation in local laws and customs. Circle8 sees a trend in more multi-country and enterprise-level relationships, and it may have difficulty in profitably managing and delivering projects involving multiple countries. Also, Circle8’s size and organizational structure may make it difficult to develop and implement new processes and tools across the enterprise in a consistent manner. If Circle8 is not effective at anticipating or meeting the widely ranging needs of its current and prospective clients, or its competitors are more agile or effective at doing so, our business and financial results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Circle8’s ability to perform at speed, and to meet client expectations, may also be adversely affected by limitations in its own information systems and those of its third-party vendors. Circle8 is increasingly dependent on these systems, which are subject to damage or interruption from multiple causes, including power outages, facility damage, computer and telecommunications failures, vandalism, malware, hacking and other malicious acts, catastrophic events and human error. If its information systems are damaged, fail to work properly, or otherwise become unavailable, Circle8 may incur substantial costs to repair or replace them, and may experience reputational damage, loss of critical information, customer disruption, and interruptions or delays in its ability to perform essential functions and implement new and innovative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worldwide employment services industry is highly competitive with limited barriers to entry in many markets, which could limit Circle8’sability to maintain or increase its market share or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worldwide employment services industry is highly competitive with limited barriers to entry in many markets, and in recent years has undergone significant consolidation. Circle8 competes in markets throughout Europe with full-service and specialized employment services agencies. Several of its global competitors, including The Adecco Group and Randstad, have very substantial marketing and financial resources, and may be better positioned in certain markets. Circle8’s global competitors include the Adecco Group and Randstad. In addition, Circle 8 competes with specialized staffing and workforce solutions firms such as Robert Walters, SThree, HeadFirst Group, PRO Unlimited, and K2 Partnering Solutions. Portions of Circle8’s industry may become increasingly commoditized, with the result that competition in key areas could become more focused on pricing. Circle8 expects that it will continue to experience pressure on price from competitors and clients. There is a risk that Circle8 will not compete effectively, including on price, which could limit its ability to maintain or increase its market share and could materially adversely affect its financial results. This may worsen as clients increasingly take advantage of low-cost alternatives including using their own in-house resources rather than engaging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 has outsourced aspects of its business, which could result in disruption, increased costs, and reputational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has increasingly outsourced, and may further outsource, important processes of its business to third party vendors, which exposes it to other risks, including increased costs, supply chain interruptions, potential disruptions to its business operations, and reputational risk. For example, Circle8 relies on third parties to host, manage and secure certain aspects of its data center information and technology infrastructure, to develop and maintain new technology for attracting, onboarding, managing, and analyzing its workforce, and to provide important back-office support. Circle8 has increasingly centralized its vendor profile so that it is reliant on a small number of vendors for highly critical corporate and technology functions. While Circle8 believes these third-party vendors provide greater efficiency and expertise, its dependence on a small number of vendors increases the risk that its business will be adversely affected if its vendors are unable to provide these services consistent with its needs. Similarly, its business continuity and its margins could be adversely affected if it needed to replace one of its critical vendors for performance or economic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Circle8’s operations also depend significantly upon these vendors’ and its ability to protect its data and to ensure the availability of its servers, software applications and websites. Despite Circle8’s and its third-party vendors’ implementation of security measures, its systems remain susceptible to system failures, computer viruses, natural disasters, unauthorized access, cyberattacks and other similar incidents, any of which could result in disruptions to Circle8’s operations. Circle8’s vendors have experienced data losses in the past, and Circle8 can expect such data incidents will occur in the future. A successful breach of the security of Circle8’s technology systems, or those of its vendors, could result in the theft of confidential, personally identifiable, or other sensitive data, including data about Circle8’s employees and/or associates, or Circle8’s human resources operations, any of which could damage its reputation in the market. If Circle8 is not able to realize the savings associated with outsourcing services or if there is a disruption or security breach of our outsourced services that results in a loss or damage to its data, or in an inappropriate disclosure of confidential, personally identifiable, or sensitive data, our business and financial results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Circle8’s global operations subject us to certain risks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operations in six countries throughout Europe and now the United States, the Company is subject to numerous risks outside of our control, including risks arising from political unrest and other political events, regional and international hostilities and international responses to these hostilities, strikes and other worker unrest, natural disasters, the impact of global climate change, acts of war, terrorism, international conflict, severe weather conditions, pandemics, and other global health emergencies, disruptions of infrastructure and utilities including energy, cyberattacks, and other events beyond Circle8’s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 is not possible to predict such events or their consequences, these events could materially adversely affect Circle8’s reputation,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Circle8’s ability to attract and retain business and employees may depend on its reputation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believes its reputation, along with its brand equity in Circle8’s name and its various other brands, are important corporate resources that help distinguish its services from those of competitors and also contribute to its efforts to recruit and retain talented employees. However,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Circle8, even if based on rumor or misunderstanding, could materially adversely affect its business. Damage to Circle8’s reputation could be difficult, expensive and time-consuming to repair, could make potential or existing clients reluctant to select it for new engagements, resulting in a loss of business, and could materially adversely affect Circle8’s recruitment and retention efforts. Damage to Circle8’s reputation could also reduce the value and effectiveness of the Circle8 name and our other brand names, and could reduce investor confidence in the Company, materially adversely affecting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fluctuations may have a material adverse effect on Circle8’s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will report our results of operations in United States dollars, the majority of Circle8’s revenues and expenses are denominated in currencies other than the United States dollar, and unfavorable fluctuations in foreign currency exchange rates could have a material adverse effect on its reported financial results. Highly inflationary economies of certain foreign countries, can result in foreign currency devaluation, which may also negatively impact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Circle8’s revenues are generated outside of the United States, in Europe. As of December 31, 2025, Circle8 had approximately EU 45 million of financial indebtedness as well as an off-balance sheet structured financing program of approximately EU 160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Circle8’s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seeks to mitigate our exposure to foreign currency fluctuations by utilizing net investment hedges and, from time to time, foreign currency forward exchange contracts and cross-currency swaps. Circle8 primarily mitigates foreign exchange exposure through natural hedging, as a significant portion of its revenues and operating costs are denominated in the same local currencies. The effectiveness of this hedge, in part, depends on Circle8’s ability to accurately forecast future cash flows, which is particularly difficult during periods of uncertain or uneven demand for its services and highly volatile exchange rates. Further, hedging activities may only offset a portion, or none at all, of the material adverse financial effects of unfavorable fluctuations in foreign exchange rates over the time the hedge is in place or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Circle8’s subsidiaries and their ability to distribute cash to Circle8 may vary, negatively affecting its ability to service its debt at the parent company level or in other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Circle8 conducts a significant portion of its operations through its subsidiaries, its cash flow and its consequent ability to service its debt depends, in part, upon the earnings of its subsidiaries and the distribution of those earnings to its parent company, or upon loans or other payments of funds by those subsidiaries to its parent company or to other subsidiaries. The payment of such dividends and the making of such loans and advances by Circle8’s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Circle8 could be subject to changes in tax rates, adoption of new international tax legislation or tax audits that could result in additional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is subject to income and other taxes in the international jurisdictions where it has operations. The tax bases and rates of these respective tax jurisdictions change from time to time due to economic and political conditions. Circle8’s effective income tax rate is affected by changes in earnings in countries with differing tax rates, changes in valuation of deferred tax assets and liabilities or changes in the respective tax laws. Circle8’s other taxes are impacted by changes in local tax laws or changes in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tax accounting involves complex matters and requires our judgment to determine our worldwide provision for income and other taxes and tax assets and liabilities. These complex matters include transfer pricing and reporting related to intercompany transactions. The Company is routinely subject to tax examinations by the United States Internal Revenue Service and new foreign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the Organization for Economic Co-operation and Development (“OECD”), which represents a coalition of member countries, recently enacted Pillar Two, which introduces a global minimum effective tax rate whereby certain multinational groups are subject to a 15% minimum tax on income derived in low-tax jurisdictions. These proposed and enacted changes in tax laws, treaties or regulations, or their interpretation or enforcement, could have a material adverse impact on our current or future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regulations may result in prohibition or restriction of certain types of employment services or the imposition of additional licensing or tax requirements that may reduce our future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jurisdictions in which Circle8 operates, such as Germany, Switzerland and the Netherlands, are heavily regulated and scrutinized. In Europe,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have established regulations that require equal-pay for equal-work for temporary workers and fixed term employees. Furthermore, some countries are adopting more restrictive immigration regulations, which may lead to greater expense or inability to fulfill client demand, particularly in our cross-border talent solutions business. All of these continuously-evolving regulations could have a significant impact to our revenues, costs, and operating margins as we and customers adjust to these new 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and territories in which we operate may, among other things: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 additional regulations that prohibit or restrict the types of employment services or categories of job roles that we may provide;</w:t>
            </w:r>
          </w:p>
        </w:tc>
      </w:tr>
    </w:tbl>
    <w:p>
      <w:pPr>
        <w:pStyle w:val="TextBody"/>
        <w:bidi w:val="0"/>
        <w:spacing w:before="0" w:after="0"/>
        <w:ind w:left="720" w:right="0" w:hanging="36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new or additional benefits be paid to our associates;</w:t>
            </w:r>
          </w:p>
        </w:tc>
      </w:tr>
    </w:tbl>
    <w:p>
      <w:pPr>
        <w:pStyle w:val="TextBody"/>
        <w:bidi w:val="0"/>
        <w:spacing w:before="0" w:after="0"/>
        <w:ind w:left="720" w:right="0" w:hanging="36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170"/>
        <w:gridCol w:w="7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pay parity for our associates or impose mandatory thresholds for employee diversity;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 the period of time for which we may or may not employ our workers, including maximum term limits or minimum time requirements for associates on assignment at our clients;</w:t>
            </w:r>
          </w:p>
        </w:tc>
      </w:tr>
    </w:tbl>
    <w:p>
      <w:pPr>
        <w:pStyle w:val="TextBody"/>
        <w:bidi w:val="0"/>
        <w:spacing w:before="0" w:after="0"/>
        <w:ind w:left="720" w:right="0" w:hanging="36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adopt new pandemic regulations that impact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us to obtain additional licensing to provide employment services; or</w:t>
            </w:r>
          </w:p>
        </w:tc>
      </w:tr>
    </w:tbl>
    <w:p>
      <w:pPr>
        <w:pStyle w:val="TextBody"/>
        <w:bidi w:val="0"/>
        <w:spacing w:before="0" w:after="0"/>
        <w:ind w:left="720" w:right="0" w:hanging="36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taxes, such as sales or value-added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types of future regulation may have a material adverse effect on our business and financial results by making it more difficult or expensive for us to continue to cost-effectively provide employment services, particularly if we cannot pass along increases in costs to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antibribery and corruption laws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Circle8 is subject to numerous legal and regulatory requirements that prohibit bribery and corrupt acts. These include the UK Bribery Act 2010, as well as similar legislation in many of the countries and territories in which it operates. Circle8 employees (but not its temporary associates) are required to participate in a global anticorruption compliance training program designed to ensure compliance with these laws and regulations. However, there are no assurances this program will be effective. In many countries where Circle8 operates, practices in the local business community may not conform to international business standards and could violate anticorruption law or regulations. Furthermore, Circle8 remains subject to the risk that one of its employees (or one of its associates on a temporary or contract-based assignment) could engage in business practices that are prohibited by its policies and these laws and regulations. Any such violations could materially adversely affect Circle8’s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its business models may carry a heightened risk of regulatory inquiry under relevant competition laws. Although Circle8 has put in place safeguards designed to maintain compliance with applicable competition laws, there can be no assurance these protections will be adequate. Competition law authorities have investigated our business practices in the past, and there continues to be a risk of such inquiries in the future. There is no assurance we would successfully defend against any such regulatory inquiries, and they could consume substantial amounts of Circle8’s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highly volatile,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be highly volatile. You may be unable to sell your shares of Common Stock at or above the offering price. The market prices of our Common Stock could be subject to wide fluctuations in response to a variety of factors, which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our financial condition and operating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technological innovations by us or our competitors;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our customers, partners or suppliers relating directly or indirectly to our products, services or technologies;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overall conditions in our industry and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 or loss of significant customers;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laws or regulations applicable to our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our growth rate relative to our competitors;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significant acquisitions, strategic partnerships, joint ventures, capital commitments or achievement of significant milestones;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personnel;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existing products or new products that may emerge;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the valuation of companies perceived by investors to be comparable to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or other developments related to proprietary rights, including patents, litigation matters or our ability to obtain intellectual property protection for our technologies;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 or expectation of additional financing efforts;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our Common Stock by us or our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and volume fluctuations attributable to inconsistent trading volume levels of our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reports, guidance and ratings issued by securities or industry analysts;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market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forgoing occurs, it could cause our Common Stock or trading volumes to decline. Stock markets in general and the small-cap market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prices of our Common Stock. You may not realize any return on your investment in us and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could be subject to rapid and substantial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instances of extreme stock price run-ups followed by rapid price declines and strong stock price volatility with recent public offerings, especially among those with relatively smaller public floats. As a smaller-capitalization company with a small public float, we may experience greater stock price volatility, extreme price run-ups, lower trading volume, and less liquidity than larger-capitalization companies. In particular, our Common Stock may be subject to rapid and substantial price volatility, low volumes of trades, and large spreads in bid and asked prices. Such volatility, including any stock run-ups, may be unrelated to our actual or expected operating performance and financial condition or prospects, making it difficult for prospective investors to assess the rapidly changing value of our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trading volumes of our Common Stock are low, persons buying or selling in relatively small quantities may easily influence the price of our Common Stock. This low volume of trades could also cause the price of our Common Stock to fluctuate greatly, with large percentage changes in price occurring in any trading day session. Holders of our Common Stock may also not be able to readily liquidate their investment or may be forced to sell at depressed prices due to low volume trading. Broad market fluctuations and general economic and political conditions may also adversely affect the market price of our Common Stock. As a result of this volatility, investors may experience losses on their investment in our Common Stock. A decline in the market price of our Common Stock also could adversely affect our ability to issue additional shares of Common Stock or other of our securities and our ability to obtain additional financing in the future. There can be no assurance that an active market in our Common Stock will be sustained. If an active market is not sustained, holders of our Common Stock may be unable to readily sell the shares they hold or may not be able to sell their shares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our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shares become subject to the penny stock rules, it would become more difficult to trade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fail to maintain a listing on the Nasdaq Stock Market, and, if the price of the Common Stock trades at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 may have difficulty selling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the reduced disclosure requirements applicable to emerging growth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We may remain an emerging growth company until as late as December 2026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$700,000,000 as of any June 30, in which case we would cease to be an emerging growth company as of the following December 31, or (2) if our gross revenue exceeds $1.235 billion in any fiscal year. Emerging growth companies may take advantage of certain exemptions from various reporting requirements that are applicable to other public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102 of the JOBS Act also provides that an emerging growth company can take advantage of the extended transition period provided in Section 7(a)(2)(B) of the Securities Act of 1933, as amended, or the Securities Act, for complying with new or revised accounting standards. An emerging growth company can therefore delay the adoption of certain accounting standards until those standards would otherwise apply to private companies. We have irrevocably elected to avail ourselves of this exemption from new or revised accounting standards and, therefore, we will not be subject to the same new or revised accounting standards as other public companies that are not emerging growth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elected to use the extended transition period for complying with new or revised accounting standards for an emerging growth company our financial statements may not be comparable to companies that comply with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use the extended transition period for complying with new or revised accounting standards under Section 102(b)(1)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 and thus investors may have difficulty evaluating or comparing our business, performance or prospects in comparison to other public companies, which may have a negative impact on the value and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under Delaware law could make an acquisition of us, which may be beneficial to our Stockholder, more difficult and may prevent attempts by our Stockholder to replace or remove our current management and limit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without further action by the Stockholder, up to 20,000,000 shares of undesignated preferred stock (of which up to 15,000 shares have been designated as Series B 5% Convertible Preferred Stock) and up to 300,000,000 shares of authorized but unissued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that any action to be taken by our Stockholder be effected at a duly called annual or special meeting and not by written consent;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specify that special meetings of our Stockholder can be called only by our board of directors, the Chairman of the Board, the Chief Executive Officer or the President;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an advance notice procedure for stockholder approvals to be brought before an annual meeting of our Stockholder, including proposed nominations of persons for election to our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our directors may be removed only for cause;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frustrate or prevent any attempts by our Stockholder to replace or remove our current management by making it more difficult for Stockholder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 owning in excess of 15% of our outstanding voting stock to merge or combine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issuance of additional shares of Common Stock or preferred stock, or options or warrants to purchase those stock, would dilute investors’ proportionate ownership and voting rights. Our issuance of preferred stock, or options or warrants to purchase those shares, could negatively impact the value of investors’ investment in our Common Stock as the result of preferential voting rights or veto powers, dividend rights, disproportionate rights to appoint directors to our board, conversion rights, redemption rights and liquidation provisions granted to the preferred stockholders, including the grant of rights that could discourage or prevent the distribution of dividends to stockholders, or prevent the sale of our assets or a potential takeover of our Company that might otherwise result in stockholders receiving a distribution or a premium over the market price for investors’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entitled, under our certificate of incorporation to issue up to 300,000,000 common and 20,000,000 “blank check” preferred shares. After taking into consideration our outstanding common and preferred shares as of October 7, 2026, we will be entitled to issue up to 182,505,415 additional common shares and 19,990,304 preferred shares. We have sold 9,696 Shares of Series B 5% Convertible Preferred Stock (“Series B Preferred Stock”), with a stated value of $1,072 per share (total value of $10,542,175) to an institutional investor. These shares rank senior to the Company’s Common Stock and have no voting rights, except as long as any shares of Preferred Stock are outstanding, the Company shall not, without the affirmative vote of the Holders of a majority of the then outstanding shares of Series B Preferred Stock, (a) alter or change adversely the powers, preferences or rights given to the Preferred Stock or alter or amend the Certificate of Designation, (b) authorize or create any class of stock ranking as to dividends, redemption or distribution of assets upon a Liquidation, senior to, or otherwise pari passu with, Series B Preferred Stock (c) amend its certificate of incorporation or other charter documents in any manner that adversely affects any rights of the Series B Preferred Stockholders, (d) issue any new shares of this Series B Preferred Stock to any other holders, or (e) enter into any agreement with respect to any of the foregoing. Our board may generally issue those common and preferred shares, or options or warrants to purchase those shares, without further approval by our stockholders based upon such factors as our board of directors may deem relevant at that time. Any preferred stock we may issue shall have such rights, preferences, privileges and restrictions as may be designated from time-to-time by our board, including preferential dividend rights, voting rights, conversion rights, redemption rights and liquidation provisions. It is likely that we will be required to issue a large amount of additional securities to raise capital to further our business strategy. It is also likely that we will be required to issue a large amount of additional securities to directors, officers, employees and consultants as compensatory grants in connection with their services, both in the form of stand-alone grants or under our various stock plans. We cannot guarantee that we will not issue additional common or preferred shares, or options or warrants to purchase those shares, under circumstances we may deem appropriate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certificate of incorporation provides that the Court of Chancery of the State of Delaware is the exclusive forum for certain litigation that may be initiated by our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the Court of Chancery of the State of Delaware shall be the sole and exclusive forum for the following types of actions or proceedings under Delaware statutory law or Delaware common law, subject to certain exceptions: (1) any derivative action or proceeding brought on our behalf; (2) any action asserting a claim of breach of a fiduciary duty or other wrongdoing by any of our directors, officers, employees or agents to us or our Stockholder; (3) any action asserting a claim against us arising pursuant to provisions of the Delaware General Corporation Law or our amended and restated certificate of incorporation or amended and restated bylaws; or (4) any action asserting a claim governed by the internal affairs doctrine. The choice of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 By agreeing to the exclusive forum provisions, investors will not be deemed to have waived our compliance obligations with any federal securities laws or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paying any cash dividends on our Common Stock in the foreseeable future and, as a result, capital appreciation, if any, of our Common Stock will be your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and we do not anticipate paying any cash dividends on our Common Stock in the foreseeable future. We currently intend to retain all available funds and any future earnings to fund the development and growth of our business. In addition, any future loan arrangements we enter into may contain terms prohibiting or limiting the amount of dividends that may be declared or paid on our Common Stock. As a result, capital appreciation, if any, of our Common Stock offered hereby will be your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06"/>
      <w:bookmarkEnd w:id="13"/>
      <w:r>
        <w:rPr>
          <w:rFonts w:ascii="Times New Roman;Times;Serif" w:hAnsi="Times New Roman;Times;Serif"/>
          <w:b/>
          <w:i w:val="false"/>
          <w:caps w:val="false"/>
          <w:smallCaps w:val="false"/>
          <w:sz w:val="20"/>
        </w:rPr>
        <w:t>USE OF PROCEEDS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the applicable prospectus supplement, we intend to use the net proceeds from the sales of the securities covered by this prospectus for general corporate purposes, which may include, but are not limited to, funding for working capital, payment of dividends, capital expenditures, repurchases of our common stock, repayment of debt, and acquisitions. We may temporarily invest funds that are not immediately needed for these purposes in short-term investments, including, but not limited to,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7"/>
      <w:bookmarkEnd w:id="14"/>
      <w:r>
        <w:rPr>
          <w:rFonts w:ascii="Times New Roman;Times;Serif" w:hAnsi="Times New Roman;Times;Serif"/>
          <w:b/>
          <w:i w:val="false"/>
          <w:caps w:val="false"/>
          <w:smallCaps w:val="false"/>
          <w:sz w:val="20"/>
        </w:rPr>
        <w:t>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presently listed on the Nasdaq Global Market under the symbol “CIRC”. On October 6, 2026, the last reported per share sale price of our Common Stock was $0.49.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7, 2026, we had 117,494,585 shares issued and outstanding of our Common Stock. We had approximately 305 registered holders of record of our Common Stock. A Substantially greater number of holders of our Common Stock are “street name” or beneficial holders, whose shares of record are held through banks, brokers, other financial institutions and registered clearing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7"/>
      <w:bookmarkEnd w:id="15"/>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capital stock and certain provisions of our certificate of incorporation and bylaws. This summary does not purport to be complete and is qualified in its entirety by the provisions of our certificate of incorporation, as amended, our bylaws and applicable provisions of the Delaware General Corporation Law (the “DGCL”).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“Where You Can Find More Information” elsewhere in this prospectus for information on where you can obtain copies of our certificate of incorporation and our bylaws, which have been filed with and are publicly available from the SEC. Our authorized capital stock consists of 300,000,000 shares of Common Stock, par value $0.00001 per share, and 20,000,000 shares of preferred stock, par value $0.00001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9"/>
      <w:bookmarkEnd w:id="16"/>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7, 2026, there were 117,494,585 shares of our Common Stock issued outstanding held by approximately 305 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any holders of any outstanding shares or series of preferred stock, holders of Common Stock are entitled to the payment of dividends when and as declared by our board of directors in accordance with applicable law and to receive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by law or in a preferred stock designation, holders of Common Stock are entitled to one vote for each share held of record on all matters submitted to a vote of the Stockholder, have the exclusive right to vote for the election of directors and do not have cumulative voting rights. Except as otherwise required by law, holders of Common Stock are not entitled to vote on any amendment to the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our Certificate of Incorporation (including any certificate of designations relating to any series of preferred stock) or pursuant to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any holders of any outstanding shares or series of preferred stock, in the event of any liquidation, dissolution or winding up of our affairs, whether voluntary or involuntary, our funds and assets, to the extent they may be legally distributed to holders of Common Stock, shall be distributed among the holders of the then outstanding Common Stock pro rata in accordance with the number of shares of Common Stock held by each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Rights and Preferences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shares of Common Stock are fully paid and non-assessable. The holders of Common Stock have no pre-emptive or other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symbol, “CIRC”.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 The address of VStock Transfer, LLC is 18 Lafayette Place, Woodmere, NY 11598 and its telephone number is (212) 828-8436.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0"/>
      <w:bookmarkEnd w:id="17"/>
      <w:r>
        <w:rPr>
          <w:rFonts w:ascii="Times New Roman;Times;Serif" w:hAnsi="Times New Roman;Times;Serif"/>
          <w:b/>
          <w:i w:val="false"/>
          <w:caps w:val="false"/>
          <w:smallCaps w:val="false"/>
          <w:sz w:val="20"/>
        </w:rPr>
        <w:t>DESCRIPTION OF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7, 2026, 9,696 shares of preferred stock had been issued or were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our preferred stock does not purport to be complete. This description is summarized from, and is qualified in its entirety by reference to, our Certificate of Incorporation and our Bylaws, to which you should refer and both of which are included as exhibits to the registration statement of which this prospectus supplement is a part. The summary below is also qualified by provisions of applicable law, including the DGCL.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to issue up to 20,000,000 shares of preferred stock in one or more series and to determine the rights and preferences of the shares of any such series without stockholder approval. Our board of directors may issue preferred stock in one or more series and has the authority to fix the designation and powers, rights and preferences and the qualifications, limitations or restrictions with respect to each class or series of such class without further vote or action by the Stockholder, unless action is required by applicable law or the rules of any stock exchange on which our securities may be listed. The ability of our board of directors to issue preferred stock without stockholder approval could have the effect of delaying, deferring or preventing a change of control of us or the removal of existing management. Further, our board of director may authorize the issuance of preferred stock with voting or conversion rights that could adversely affect the voting power or other rights of the holders of our Common Stock. Additionally, the issuance of preferred stock may have the effect of decreasing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 but not be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70"/>
        <w:gridCol w:w="2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and stated value;</w:t>
            </w:r>
          </w:p>
        </w:tc>
      </w:tr>
    </w:tbl>
    <w:p>
      <w:pPr>
        <w:pStyle w:val="TextBody"/>
        <w:bidi w:val="0"/>
        <w:spacing w:before="0" w:after="0"/>
        <w:ind w:left="1440" w:right="0" w:hanging="36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170"/>
        <w:gridCol w:w="3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we are offering;</w:t>
            </w:r>
          </w:p>
        </w:tc>
      </w:tr>
    </w:tbl>
    <w:p>
      <w:pPr>
        <w:pStyle w:val="TextBody"/>
        <w:bidi w:val="0"/>
        <w:spacing w:before="0" w:after="0"/>
        <w:ind w:left="1440" w:right="0" w:hanging="36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liquidation preference per share;</w:t>
            </w:r>
          </w:p>
        </w:tc>
      </w:tr>
    </w:tbl>
    <w:p>
      <w:pPr>
        <w:pStyle w:val="TextBody"/>
        <w:bidi w:val="0"/>
        <w:spacing w:before="0" w:after="0"/>
        <w:ind w:left="1440" w:right="0" w:hanging="36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purchase price;</w:t>
            </w:r>
          </w:p>
        </w:tc>
      </w:tr>
    </w:tbl>
    <w:p>
      <w:pPr>
        <w:pStyle w:val="TextBody"/>
        <w:bidi w:val="0"/>
        <w:spacing w:before="0" w:after="0"/>
        <w:ind w:left="1440" w:right="0" w:hanging="36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dividend rate, period and payment date and method of calculation for dividends;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dividends will be cumulative or non-cumulative and, if cumulative, the date from which dividends will accumulate;</w:t>
            </w:r>
          </w:p>
        </w:tc>
      </w:tr>
    </w:tbl>
    <w:p>
      <w:pPr>
        <w:pStyle w:val="TextBody"/>
        <w:bidi w:val="0"/>
        <w:spacing w:before="0" w:after="0"/>
        <w:ind w:left="1440" w:right="0" w:hanging="36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provisions for a sinking fund, if any;</w:t>
            </w:r>
          </w:p>
        </w:tc>
      </w:tr>
    </w:tbl>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redemption or repurchase, if applicable, and any restrictions on our ability to exercise those redemption and repurchase rights;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convertible into our Common Stock, and, if applicable, the conversion price, or how it will be calculated, and the conversion period;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exchangeable into debt securities, and, if applicable, the exchange price, or how it will be calculated, and the exchange period;</w:t>
            </w:r>
          </w:p>
        </w:tc>
      </w:tr>
    </w:tbl>
    <w:p>
      <w:pPr>
        <w:pStyle w:val="TextBody"/>
        <w:bidi w:val="0"/>
        <w:spacing w:before="0" w:after="0"/>
        <w:ind w:left="1440" w:right="0" w:hanging="36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rights, if any, of the preferred stock;</w:t>
            </w:r>
          </w:p>
        </w:tc>
      </w:tr>
    </w:tbl>
    <w:p>
      <w:pPr>
        <w:pStyle w:val="TextBody"/>
        <w:bidi w:val="0"/>
        <w:spacing w:before="0" w:after="0"/>
        <w:ind w:left="1440" w:right="0" w:hanging="36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preemptive rights, if any;</w:t>
            </w:r>
          </w:p>
        </w:tc>
      </w:tr>
    </w:tbl>
    <w:p>
      <w:pPr>
        <w:pStyle w:val="TextBody"/>
        <w:bidi w:val="0"/>
        <w:spacing w:before="0" w:after="0"/>
        <w:ind w:left="1440" w:right="0" w:hanging="36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on transfer, sale or other assignment, if any;</w:t>
            </w:r>
          </w:p>
        </w:tc>
      </w:tr>
    </w:tbl>
    <w:p>
      <w:pPr>
        <w:pStyle w:val="TextBody"/>
        <w:bidi w:val="0"/>
        <w:spacing w:before="0" w:after="0"/>
        <w:ind w:left="1440" w:right="0" w:hanging="36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discussion of any material United States federal income tax considerations applicable to the preferred stock;</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stock as to dividend rights and rights if we liquidate, dissolve or wind up our affairs;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the issuance of any class or series of preferred stock ranking senior to or on a parity with the series of preferred stock as to dividend rights and rights if we liquidate, dissolve or wind up our affairs; and</w:t>
            </w:r>
          </w:p>
        </w:tc>
      </w:tr>
    </w:tbl>
    <w:p>
      <w:pPr>
        <w:pStyle w:val="TextBody"/>
        <w:bidi w:val="0"/>
        <w:spacing w:before="0" w:after="0"/>
        <w:ind w:left="1440" w:right="0" w:hanging="36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preferred stock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1"/>
      <w:bookmarkEnd w:id="18"/>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Common Stock and/or preferred stock in one or more series. We may issue warrants independently or together with Common Stock and/or preferred stock, and the warrants may be attached to or separate from these securities. While the terms summarized below will apply generally to any warrants that we may offer, we will describe the particular terms of any series of warrants in more detail in the applicable prospectus supplement. The terms of any warrants offered under a prospectus supplement may differ from the terms described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reports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supplement. We urge you to read the applicable prospectus supplement supplements related to the particular series of warrants that we may offer under this prospectus supplement, as well as any related free writing prospectus supplements, and the complete warrant agreements and warrant certificates that contain the terms of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being offered, including:</w:t>
      </w:r>
    </w:p>
    <w:p>
      <w:pPr>
        <w:pStyle w:val="TextBody"/>
        <w:bidi w:val="0"/>
        <w:spacing w:before="0" w:after="0"/>
        <w:ind w:left="0" w:right="0" w:firstLine="72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offering price and aggregate number of warrants offered;</w:t>
            </w:r>
          </w:p>
        </w:tc>
      </w:tr>
    </w:tbl>
    <w:p>
      <w:pPr>
        <w:pStyle w:val="TextBody"/>
        <w:bidi w:val="0"/>
        <w:spacing w:before="0" w:after="0"/>
        <w:ind w:left="1440" w:right="0" w:hanging="36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for which the warrants may be purchased;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ind w:left="1440" w:right="0" w:hanging="36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related securities will be separately transferable;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any merger, consolidation, sale or other disposition of our business on the warrant agreements and the warrants;</w:t>
            </w:r>
          </w:p>
        </w:tc>
      </w:tr>
    </w:tbl>
    <w:p>
      <w:pPr>
        <w:pStyle w:val="TextBody"/>
        <w:bidi w:val="0"/>
        <w:spacing w:before="0" w:after="0"/>
        <w:ind w:left="1440" w:right="0" w:hanging="36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any rights to redeem or call the warrants;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changes to or adjustments in the exercise price or number of securities issuable upon exercise of the warrants;</w:t>
            </w:r>
          </w:p>
        </w:tc>
      </w:tr>
    </w:tbl>
    <w:p>
      <w:pPr>
        <w:pStyle w:val="TextBody"/>
        <w:bidi w:val="0"/>
        <w:spacing w:before="0" w:after="0"/>
        <w:ind w:left="1440" w:right="0" w:hanging="36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the right to exercise the warrants will commence and expire;</w:t>
            </w:r>
          </w:p>
        </w:tc>
      </w:tr>
    </w:tbl>
    <w:p>
      <w:pPr>
        <w:pStyle w:val="TextBody"/>
        <w:bidi w:val="0"/>
        <w:spacing w:before="0" w:after="0"/>
        <w:ind w:left="1440" w:right="0" w:hanging="36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manner in which the warrant agreements and warrants may be modified;</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United States federal income tax consequences of holding or exercising the warrants;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securities issuable upon exercise of the warrants; and</w:t>
            </w:r>
          </w:p>
        </w:tc>
      </w:tr>
    </w:tbl>
    <w:p>
      <w:pPr>
        <w:pStyle w:val="TextBody"/>
        <w:bidi w:val="0"/>
        <w:spacing w:before="0" w:after="0"/>
        <w:ind w:left="1440" w:right="0" w:hanging="36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Common Stock or preferred stock, the right to receive dividends, if any, or payments upon our liquidation, dissolution or winding up or to exercise voting rights,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Exercise of 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warrants represented by the warrant certificate are not exercised,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warrants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2"/>
      <w:bookmarkEnd w:id="19"/>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Common Stock or preferred stock, in one or more series. Rights may be issued independently or together with any other offered security and may or may not be transferable by the person purchasing or receiving the subscription rights. In connection with any rights offering to our Stockholder, we may enter into a standby underwriting arrangement with one or more underwriters pursuant to which such underwriters will purchase any offered securities remaining unsubscribed after such rights offering. In connection with a rights offering to our Stockholder, we will distribute certificates evidencing the rights and a prospectus supplement to our Stockholder on the record date that we set for receiving rights in such rights offering. The applicable prospectus supplement or free writing prospectus supplement will describe the following terms of rights in respect of which this prospectus supplement is being delivered:</w:t>
      </w:r>
    </w:p>
    <w:p>
      <w:pPr>
        <w:pStyle w:val="TextBody"/>
        <w:bidi w:val="0"/>
        <w:spacing w:before="0" w:after="0"/>
        <w:ind w:left="0" w:right="0" w:firstLine="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170"/>
        <w:gridCol w:w="1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of such rights;</w:t>
            </w:r>
          </w:p>
        </w:tc>
      </w:tr>
    </w:tbl>
    <w:p>
      <w:pPr>
        <w:pStyle w:val="TextBody"/>
        <w:bidi w:val="0"/>
        <w:spacing w:before="0" w:after="0"/>
        <w:ind w:left="1440" w:right="0" w:hanging="36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securities for which such rights are exercisable;</w:t>
            </w:r>
          </w:p>
        </w:tc>
      </w:tr>
    </w:tbl>
    <w:p>
      <w:pPr>
        <w:pStyle w:val="TextBody"/>
        <w:bidi w:val="0"/>
        <w:spacing w:before="0" w:after="0"/>
        <w:ind w:left="1440" w:right="0" w:hanging="36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170"/>
        <w:gridCol w:w="2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exercise price for such rights;</w:t>
            </w:r>
          </w:p>
        </w:tc>
      </w:tr>
    </w:tbl>
    <w:p>
      <w:pPr>
        <w:pStyle w:val="TextBody"/>
        <w:bidi w:val="0"/>
        <w:spacing w:before="0" w:after="0"/>
        <w:ind w:left="1440" w:right="0" w:hanging="36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bl>
    <w:p>
      <w:pPr>
        <w:pStyle w:val="TextBody"/>
        <w:bidi w:val="0"/>
        <w:spacing w:before="0" w:after="0"/>
        <w:ind w:left="1440" w:right="0" w:hanging="36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70"/>
        <w:gridCol w:w="4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such rights issued to each security holder;</w:t>
            </w:r>
          </w:p>
        </w:tc>
      </w:tr>
    </w:tbl>
    <w:p>
      <w:pPr>
        <w:pStyle w:val="TextBody"/>
        <w:bidi w:val="0"/>
        <w:spacing w:before="0" w:after="0"/>
        <w:ind w:left="1440" w:right="0" w:hanging="36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extent to which such rights are transferable;</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the material United States federal income tax considerations applicable to the issuance or exercise of such rights;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such rights shall commence, and the date on which such rights shall expire (subject to any extension);</w:t>
            </w:r>
          </w:p>
        </w:tc>
      </w:tr>
    </w:tbl>
    <w:p>
      <w:pPr>
        <w:pStyle w:val="TextBody"/>
        <w:bidi w:val="0"/>
        <w:spacing w:before="0" w:after="0"/>
        <w:ind w:left="1440" w:right="0" w:hanging="36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conditions to completion of the rights offering;</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changes to or adjustments in the exercise price or number of securities issuable upon exercise of the rights;</w:t>
            </w:r>
          </w:p>
        </w:tc>
      </w:tr>
    </w:tbl>
    <w:p>
      <w:pPr>
        <w:pStyle w:val="TextBody"/>
        <w:bidi w:val="0"/>
        <w:spacing w:before="0" w:after="0"/>
        <w:ind w:left="1440" w:right="0" w:hanging="36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such rights include an over-subscription privilege with respect to unsubscribed securities;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other purchase arrangement that we may enter into in connection with the rights offering; and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terms of such rights, including terms, procedures and limitations relating to the exchange and exercise of such rights.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thereof the right to purchase for cash such amount of shares of Common Stock or preferred stock, or any combination thereof,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 Rights may be exercised as set forth in the prospectus supplement relating to the rights offered thereby. Upon receipt of payment and the proper completion and due execution of the rights certificate at the office of the rights agent, if any, or any other office indicated in the prospectus supplement, we will forward, as soon as practicable, the shares of Common Stock and/or preferred stock purchasable upon such exercise. We may determine to offer any unsubscribed offered securities directly to persons other than Stockholder, to or through agents, underwriters or dealers or through a combination of such methods, including pursuant to standby underwriting arrangements, as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Agent</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for any rights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3"/>
      <w:bookmarkEnd w:id="20"/>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that we include in any applicable prospectus supplement, summarizes the material terms and provisions of the units that we may offer under this prospectus supplement. While the terms we have summarized below will apply generally to any units that we may offer under this prospectus supplement, we will describe the particular terms of any series of units in more detail in the applicable prospectus supplement. The terms of any units offered under a prospectus supplement may differ from the terms described below.</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supplements related to the particular series of units that we may offer under this prospectus supplement, as well as any related free writing prospectus supplements and the complete unit agreement and any supplemental agreements that contain the terms of the units.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applicable prospectus supplement, we may issue, in one more series, units consisting of Common Stock, preferred stock and/or warrants or rights for the purchase of Common Stock and/or preferred stock in any combination. The applicable prospectus supplement will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comprising the units, including whether and under what circumstances the securities comprising the units may be separately traded;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applicable to the units, including a description of the terms of any applicable unit agreement governing the units; and</w:t>
              <w:tab/>
            </w:r>
          </w:p>
        </w:tc>
      </w:tr>
    </w:tbl>
    <w:p>
      <w:pPr>
        <w:pStyle w:val="TextBody"/>
        <w:bidi w:val="0"/>
        <w:spacing w:before="0" w:after="0"/>
        <w:ind w:left="1440" w:right="0" w:hanging="36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the provisions for the payment, settlement, transfer or exchange of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set forth in any prospectus supplement or as described under “Description of Common Stock”, “Description of Preferred Stock”, “Description of Warrants” and “Description of Rights” will apply to each unit, as applicable, and to any Common Stock, preferred stock, warrant, or right included in each unit, as applicable.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for any units we offer will be set forth in the applicable prospectus supplement.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may determine.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8"/>
      <w:bookmarkEnd w:id="2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underwriters or dealers;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to purchasers;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 rights offering;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“at the market” offerings, within the meaning of Rule 415(a)(4) of the Securities Act, to or through a market maker or into an existing trading market on an exchange or otherwise;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these methods;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any other method permitted by applicable law and described in a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supplement and any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with respect to any offering of securities will include the following information:</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terms of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names of any underwriters, dealers or direct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name or names of any managing underwriter or underwriters;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purchase price or public offering price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net proceeds from the sale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delayed delivery arrangements;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underwriting discounts, commissions and other items constituting underwriters’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discounts or concessions allowed or reallowed or paid to dealers;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commissions paid to agents;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securities exchange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supplement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we will sell the securities to them as principals. They may then resell those securities to the public at fixed prices or at varying prices determined by the dealers at the time of resale. We will include in the applicable prospectus supplement the names of the dealers and the terms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and agents named in a prospectus supplement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or agents and their associates may engage in other transactions with and perform other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In this case, no underwriters or agents would be involved. We may also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the securities offered by any applicable prospectus supplement in “at the market offerings” within the meaning of Rule 415(a)(4) of the Securities Act, to or through a market maker or into an existing trading market, on an exchange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Remarketing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so indicate in the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contracts would be subject only to those conditions described in the applicable prospectus supplement. The applicable prospectus supplement will describe the commission payable for solicitation of those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agreements with the underwriters, dealers, agents and remarketing firms to indemnify them against certain civil liabilities, including liabilities under the Securities Act, or to contribute with respect to payments that the underwriters, dealers, agents or remarketing firms may be required to make. Underwriters, dealers, agents and remarketing firms may be customers of, engage in transactions with or perform services for us in the ordinary course of their businesses.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i w:val="false"/>
          <w:caps w:val="false"/>
          <w:smallCaps w:val="false"/>
          <w:sz w:val="20"/>
        </w:rPr>
      </w:pPr>
      <w:bookmarkStart w:id="22" w:name="a_014"/>
      <w:bookmarkEnd w:id="22"/>
      <w:r>
        <w:rPr>
          <w:rFonts w:ascii="Times New Roman;Times;Serif" w:hAnsi="Times New Roman;Times;Serif"/>
          <w:b/>
          <w:i w:val="false"/>
          <w:caps w:val="false"/>
          <w:smallCaps w:val="false"/>
          <w:sz w:val="20"/>
        </w:rPr>
        <w:t>DIVIDEND POLICY</w:t>
      </w:r>
    </w:p>
    <w:p>
      <w:pPr>
        <w:pStyle w:val="TextBody"/>
        <w:bidi w:val="0"/>
        <w:spacing w:before="0" w:after="0"/>
        <w:ind w:left="480" w:right="0" w:hanging="48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cash dividends on our capital stock to date and do not anticipate or contemplate paying dividends in the foreseeable future. We intend to retain future earnings, if any, to finance the expansion of our business, and we do not anticipate that any cash dividends will be paid in the foreseeable future. Our future payment of dividends will depend on our earnings, capital requirements, expansion plans, financial condition and other relevant factors that our board of directors may deem relevant. Our accumulated deficit currently limits our ability to pay 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15"/>
      <w:bookmarkEnd w:id="2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by this prospectus will be passed upon for us by Davidoff Hutcher &amp; Citron LLP (“DHC”), New York, New York. DHC owns 20,000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6"/>
      <w:bookmarkEnd w:id="24"/>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Circle8 Group and its subsidiaries as of and for the years ended December 31, 2024 and 2025 incorporated by reference in this prospectus have been audited by RBSM LLP, an independent registered public accounting firm as set forth in their report, and are incorporated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Subscription Rights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Circle8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15,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05888/000160588826000017/altn-20251231.htm" TargetMode="External"/><Relationship Id="rId3" Type="http://schemas.openxmlformats.org/officeDocument/2006/relationships/hyperlink" Target="http://www.sec.gov/ix?doc=/Archives/edgar/data/1605888/000160588826000025/altn-20260331.htm" TargetMode="External"/><Relationship Id="rId4" Type="http://schemas.openxmlformats.org/officeDocument/2006/relationships/hyperlink" Target="http://www.sec.gov/ix?doc=/Archives/edgar/data/1605888/000160588826000044/altn-20260630.htm" TargetMode="External"/><Relationship Id="rId5" Type="http://schemas.openxmlformats.org/officeDocument/2006/relationships/hyperlink" Target="https://www.sec.gov/ix?doc=/Archives/edgar/data/1605888/000121390026008654/ea0274101-8k_atlantic.htm" TargetMode="External"/><Relationship Id="rId6" Type="http://schemas.openxmlformats.org/officeDocument/2006/relationships/hyperlink" Target="https://www.sec.gov/ix?doc=/Archives/edgar/data/1605888/000160588826000004/altn-20260202.htm" TargetMode="External"/><Relationship Id="rId7" Type="http://schemas.openxmlformats.org/officeDocument/2006/relationships/hyperlink" Target="https://www.sec.gov/ix?doc=/Archives/edgar/data/1605888/000121390026034808/ea0283340-8k_atlantic.htm" TargetMode="External"/><Relationship Id="rId8" Type="http://schemas.openxmlformats.org/officeDocument/2006/relationships/hyperlink" Target="https://www.sec.gov/ix?doc=/Archives/edgar/data/1605888/000121390026039579/ea0284949-8k_atlantic.htm" TargetMode="External"/><Relationship Id="rId9" Type="http://schemas.openxmlformats.org/officeDocument/2006/relationships/hyperlink" Target="https://www.sec.gov/ix?doc=/Archives/edgar/data/1605888/000160588826000028/altn-20260622.htm" TargetMode="External"/><Relationship Id="rId10" Type="http://schemas.openxmlformats.org/officeDocument/2006/relationships/hyperlink" Target="https://www.sec.gov/ix?doc=/Archives/edgar/data/1605888/000160588826000037/altn-20260629.htm" TargetMode="External"/><Relationship Id="rId11" Type="http://schemas.openxmlformats.org/officeDocument/2006/relationships/hyperlink" Target="https://www.sec.gov/ix?doc=/Archives/edgar/data/1605888/000121390026089264/ea0301845-8k_circle8.htm" TargetMode="External"/><Relationship Id="rId12" Type="http://schemas.openxmlformats.org/officeDocument/2006/relationships/hyperlink" Target="https://www.sec.gov/ix?doc=/Archives/edgar/data/1605888/000121390026091409/ea0302567-8ka1_circle8.htm" TargetMode="External"/><Relationship Id="rId13" Type="http://schemas.openxmlformats.org/officeDocument/2006/relationships/hyperlink" Target="https://www.sec.gov/ix?doc=/Archives/edgar/data/1605888/000160588826000051/altn-20260910.htm" TargetMode="External"/><Relationship Id="rId14" Type="http://schemas.openxmlformats.org/officeDocument/2006/relationships/hyperlink" Target="https://www.sec.gov/Archives/edgar/data/1605888/000121390024058504/ea0208755-s1_atlantic.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17288</Words>
  <Characters>93867</Characters>
  <CharactersWithSpaces>111262</CharactersWithSpaces>
  <Paragraphs>1205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