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No. 333-291991</w:t>
      </w:r>
    </w:p>
    <w:p>
      <w:pPr>
        <w:spacing w:after="0" w:line="200" w:lineRule="exact"/>
        <w:rPr>
          <w:sz w:val="24"/>
          <w:szCs w:val="24"/>
          <w:color w:val="auto"/>
        </w:rPr>
      </w:pPr>
    </w:p>
    <w:p>
      <w:pPr>
        <w:sectPr>
          <w:pgSz w:w="11900" w:h="16838" w:orient="portrait"/>
          <w:cols w:equalWidth="0" w:num="2">
            <w:col w:w="7520" w:space="720"/>
            <w:col w:w="3000"/>
          </w:cols>
          <w:pgMar w:left="320" w:top="441" w:right="339" w:bottom="1440" w:gutter="0" w:footer="0" w:header="0"/>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3,586,227 Shares of Common Stock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ATLANTIC INTERNATIONAL CORP.</w:t>
      </w:r>
    </w:p>
    <w:p>
      <w:pPr>
        <w:sectPr>
          <w:pgSz w:w="11900" w:h="16838" w:orient="portrait"/>
          <w:cols w:equalWidth="0" w:num="1">
            <w:col w:w="11240"/>
          </w:cols>
          <w:pgMar w:left="320" w:top="441" w:right="339" w:bottom="1440" w:gutter="0" w:footer="0" w:header="0"/>
          <w:type w:val="continuous"/>
        </w:sectPr>
      </w:pPr>
    </w:p>
    <w:p>
      <w:pPr>
        <w:spacing w:after="0" w:line="241"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the resale from time to time by the selling stockholder named in this prospectus supplement or its permitted transferees (collectively, the “Selling Stockholder”), an institutional investor, shares of common stock, par value $0.00001 per share (“Common Stock”) of Atlantic International Corp., a Delaware corporation (the “Company”), which are issuable upon conversion by the Selling Stockholder of Series B 5% Convertible Preferred Stock (“Preferred Stock”) and Preferred Stock Purchase Warrants (“Warrants”) issued under that certain Securities Purchase Agreement (“SPA”) dated March 20, 2026, as amended. The shares of Common Stock offered hereby, namely 3,586,227 shares issuable upon conversion of the Preferred Stock, and upon exercise of Warrants, subject to allocation by the Company, between Preferred Stock and Warrants, are referred to in this prospectus supplement as the “Shares.”</w:t>
      </w:r>
    </w:p>
    <w:p>
      <w:pPr>
        <w:spacing w:after="0" w:line="1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“ATLN.” On July 1, 2026, the last reported sale price prior to the date of this prospectus supplement, of the Common Stock on the Nasdaq Global Market was $0.90. The Shares may be sold at prevailing market prices or privately negotiated prices or in transactions that are not in the public market.</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supplement, as well as the documents incorporated or deemed to be incorporated by reference herein or therein, before you purchase any of our securities.</w:t>
      </w:r>
    </w:p>
    <w:p>
      <w:pPr>
        <w:spacing w:after="0" w:line="16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may offer and sell the securities described in this prospectus supplement or through one or more underwriters, dealers and agents, or directly to purchasers, or through a combination of these methods. These securities may also be resold by Selling Stockholder. If any underwriters, dealers or agents are involved in the sale of any of the securities, their names and any applicable purchase price, fee, commission or discount arrangement between or among them will be set forth, or will be calculable from the information set forth, in an applicable prospectus supplement. See the sections of this prospectus supplement entitled “About this Prospectus supplement” and “Plan of Distribution” for further information.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securities may be sold without delivery of this prospectus supplement describing the method and terms of the offering of such securities.</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this prospectus supplement or applicable prospectus supplement.</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documents are not an offer to sell or a solicitation of an offer to buy these securities in any circumstances under which the offer or solicitation is unlawful, nor does this prospectus supplement or any applicable supplement to this prospectus supplement constitute an offer to sell or the solicitation of an offer to buy securities in any jurisdiction to any person to whom it is unlawful to make such offer or solicitation in such jurisdiction.</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the federal securities laws and, as such, we have elected to comply with certain reduced public company reporting requirements for this prospectus supplement. See “Prospectus Summary—Implications of Being an Emerging Growth Company and a Smaller Reporting Company.”</w:t>
      </w:r>
    </w:p>
    <w:p>
      <w:pPr>
        <w:spacing w:after="0" w:line="17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is highly speculative and involves a high degree of risk. You should carefully read and consider the “Risk Factors” beginning on page S-4 of this prospectus supplement before investing.</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July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60" w:type="dxa"/>
            <w:vAlign w:val="bottom"/>
            <w:gridSpan w:val="4"/>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3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162"/>
        </w:trPr>
        <w:tc>
          <w:tcPr>
            <w:tcW w:w="10120" w:type="dxa"/>
            <w:vAlign w:val="bottom"/>
            <w:gridSpan w:val="17"/>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ADDITIONAL INFORMATION</w:t>
            </w:r>
          </w:p>
        </w:tc>
        <w:tc>
          <w:tcPr>
            <w:tcW w:w="11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8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6"/>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 INCORPORATION BY REFERENCE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S-iv</w:t>
            </w:r>
          </w:p>
        </w:tc>
      </w:tr>
      <w:tr>
        <w:trPr>
          <w:trHeight w:val="176"/>
        </w:trPr>
        <w:tc>
          <w:tcPr>
            <w:tcW w:w="714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SUPPLEMENT SUMMARY</w:t>
            </w:r>
          </w:p>
        </w:tc>
        <w:tc>
          <w:tcPr>
            <w:tcW w:w="298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878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5"/>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MARKET PRICE OF OUR COMMON STOCK</w:t>
            </w:r>
          </w:p>
        </w:tc>
        <w:tc>
          <w:tcPr>
            <w:tcW w:w="636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6"/>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DIVIDEND POLICY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SHARES ELIGIBLE FOR FUTURE SALE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DISCLOSURE OF COMMISSION POSITION ON INDEMNIFICATION FOR SECURITIES ACT LIABILITIES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176"/>
        </w:trPr>
        <w:tc>
          <w:tcPr>
            <w:tcW w:w="886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MATERIAL CHANGES</w:t>
            </w:r>
          </w:p>
        </w:tc>
        <w:tc>
          <w:tcPr>
            <w:tcW w:w="12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856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175"/>
        </w:trPr>
        <w:tc>
          <w:tcPr>
            <w:tcW w:w="84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280" w:type="dxa"/>
            <w:vAlign w:val="bottom"/>
            <w:gridSpan w:val="16"/>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material changes in the Company’s affairs have occurred since December 31, 2025, which have not been described in a report on Form 10-Q or Form 8-K filed under the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this prospectus supplement, the documents incorporated or deemed to be incorporated by reference herein or therein, and any free writing prospectus supplement prepared by us or on our behalf. We have not authorized anyone to provide you with information different than that contained or incorporated by reference into this prospectus supplement and any free writing prospectus supplement that we have authorized for use in connection with this offering (this “Offering”). We take no responsibility for, and can provide no assurance as to the reliability of, any other information that others may give you. You should assume that the information appearing in this prospectus supplement, the documents incorporated by reference herein, and in any free writing prospectus supplement that we have authorized for use in connection with this Offering is accurate only as of the date of those respective documents. Our business, financial condition, results of operations and prospects may have changed since those dates. You should read this prospectus supplement, the documents incorporated by reference herein, and any free writing prospectus supplement that we have authorized for use in connection with this Offering in their entirety before making an investment decision.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offering of the shares of Common Stock of the Company registered hereby (the “Shares”) in certain jurisdictions or to certain persons within such jurisdictions may be restricted by law. Persons outside the United States who come into possession of this prospectus supplement must inform themselves about and observe any restrictions relating to the offering of the Shares and the distribution of this prospectus supplement outside of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affairs.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registration statement of which it forms a part to be investment, legal or tax advice. You should consult your own counsel, accountants and other advisers for legal, tax, business, financial and related advice regarding the purchase of the Shares offered by this prospectus supplement. If the description of the Offering varies between this prospectus supplement and the accompanying Registration Statement, you should rely on the information contained in this prospectus supplement.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in this prospectus supplement or the context otherwise required, all references to “we,” “us,” “our,” “the Company” and “Atlantic” refer to Atlantic International Corp. and its subsidiaries.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We own or have rights to various trademarks, service marks and trade names that we use in connection with the operation of our business. This prospectus supplement may also contain trademarks, service marks and trade names of third parties, which are the property of their respective owners. Our use or display of third parties’ trademarks, service marks, trade names or products in this prospectus supplement is not intended to, and does not imply a relationship with, or endorsement or sponsorship by us. Solely for convenience, the trademarks, service marks and trade names referred to in this prospectus supplement may appear without the ®, ™ or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service marks and trade names.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contains “forward-looking statements” for purposes of the safe harbor provisions provided by Section 27 of the Securities Act of 1933, as amended (the “Securities Act”) and Section 21E of the Securities Exchange Act of 1934, as amended (the “Exchange Act”),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and the accuracy and completeness of the publicly available information with respect to the factors upon which our business strategy is based or the success of our business.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contained in our Annual Report on Form 10-K for the fiscal year ended December 31, 2024, and as described or may be described in any subsequent quarterly report on Form 10-Q, or current report on Form 8-K, as well as in any applicable prospectus supplement and contained or to be contained in our filings with the SEC and incorporated by reference in this prospectus supplement, “Prospectus Supplement Summary,” and elsewhere in this prospectus supplement.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 If you do not have Internet access, requests for copies of such documents should be directed to Michael S. Tenore, the Company’s General Counsel, at the Company’s headquarters, located at 270 Sylvan Avenue, Suite 2230, Englewood Cliffs, NJ 07632.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website address is www. https://www.atlantic-international.com. The information on, or accessible through, our website, however, is not, and should not be deemed to be, a part of this prospectus supplement.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SEC and does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(other than current reports furnished under Item 2.02 or Item 7.01 of Form 8-K and exhibits on such form that are related to such items)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incorporates by reference the documents set forth below that have previously been filed with the SEC since the end of the fiscal year ended December 31, 2025:</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Atlantic International </w:t>
      </w:r>
      <w:hyperlink r:id="rId1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Proxy Statement filed with the SEC on September 17, 2025,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Atlantic International Annual Report on </w:t>
      </w:r>
      <w:hyperlink r:id="rId1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15,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Atlantic Quarterly Report on </w:t>
      </w:r>
      <w:hyperlink r:id="rId1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June 22,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28,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25,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July 1,</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respectively; and</w:t>
        </w:r>
      </w:hyperlink>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descriptions of Atlantic International’s common stock which is registered under Section 12 of the Exchange Act, in Atlantic International’s registration statement on </w:t>
      </w:r>
      <w:hyperlink r:id="rId16">
        <w:r>
          <w:rPr>
            <w:rFonts w:ascii="Times New Roman" w:cs="Times New Roman" w:eastAsia="Times New Roman" w:hAnsi="Times New Roman"/>
            <w:sz w:val="18"/>
            <w:szCs w:val="18"/>
            <w:u w:val="single" w:color="auto"/>
            <w:color w:val="0000EE"/>
          </w:rPr>
          <w:t>Form S-1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333-280653), filed on July 2, 2024,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You may request, and we will provide you with, a copy of these filings, at no cost, by contacting us at:</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Atlantic International Corp.</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270 Sylvan Avenue, Suite 2230</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Englewood Cliffs, NJ</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Telephone: (201) 899-4470</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476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supplement. The summary may not contain all of the information that may be important to you. You should read this entre prospectus supplement carefully, including our financial statements and related notes thereto and the documents incorporated by reference in this prospectus supplement and the risks described below under “Risk factors.” And as described or may be described in any subsequent quarterly report on Form 10-Q or Current Report on Form 8-K, as well as in any applicable prospectus supplement and contained or to be contained in our filings with the SEC and incorporated by reference in this prospectus supplement. We note that our actual results and future events may differ significantly based upon a number of factors. The reader should not put undue reliance on the forward-looking statements in this document, which speak only as of the date on the cover of this prospectus supplement.</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supplement, unless otherwise noted, the terms “the Company,” “Atlantic,” “we,” “us,” and “our” refer to Atlantic International Corp.</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Atlantic International Corp. (“Atlantic”) (Nasdaq: ATLN), through its subsidiaries, is a global workforce solutions company with operations across North America and Europe. The Company provides staffing, consulting and workforce management services across technology, professional services, industrial administration and public service markets. Lyneer was formed under the principles of honesty and integrity, and with the view of becoming the preferred outside employer of choice. Since its formation, Lyneer has grown from a regional operation to a national staffing firm with offices and geographic reach across the United States. Lyneer primarily places individuals in accounting and finance, administrative and clerical, information technology, legal, light industrial, and medical roles. Atlantic’s approximately 300 employees generated over $400 million in revenue for the year ended December 31,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addition of Circle8 Group B.V. (“Circle8”) on January 23, 2026, Atlantic extended its capabilities into specialized high-growth IT and technology staffing capabilities across Europe, complementing Atlantic’s North American industrial staffing operations. Circle 8 is a European IT-technology talent and consulting enablement platform that provides specialized workforce solutions to enterprises, technology companies, financial institutions, and public-sector organizations. Circle8 focuses on sourcing, deploying, and managing highly skilled professionals in information technology and related digital disciplines. Circle8 is one of the fastest-growing IT and technology staffing companies, operating across Europe through a portfolio of specialized brands. Circle8 manages approximately 8,500 technology professionals and specializes in software development, data analytics cybersecurity, project management, and emerging technologies. Circle8 is founder-led and will continue to be led by Mr. Guus Franke who joined Atlantic’s Board of Directors as Executive Chairman.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team of Atlantic has over 200 combined years of specific corporate management and investment banking experience. Atlantic’s management has developed long-standing relationships in the staffing industry as well as the institutional investment arena to raise capital for publicly-listed entities to expand.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incorporated in Delaware under the name SeqLL Inc. on April 1, 2014. On June 13, 2024, the Company changed its name from SeqLL Inc. to Atlantic International Corp. On June 4, 2024 the Company, SeqLL Merger LLC, a Delaware limited liability company and wholly-owned subsidiary of the Company (“Purchaser Sub”), Atlantic Acquisition Corp, a Delaware corporation “Atlantic”, Atlantic Merger LLC, a Delaware limited liability company and a majority-owned subsidiary of Atlantic (“Atlantic Merger Sub”), Lyneer Investments, LLC, a Delaware limited liability company (“Lyneer”), and IDC Technologies, a California corporation (“IDC”), entered into the Merger Agreement pursuant to which (i) Atlantic Merger Sub was merged with and into Lyneer, with Lyneer continuing as the surviving entity and (ii) Purchaser Sub was merged with and into Lyneer with Lyneer continuing as the surviving entity and as a wholly-owned subsidiary of the Company, collectively by referred to as the Merger.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6" w:name="page7"/>
    <w:bookmarkEnd w:id="6"/>
    <w:p>
      <w:pPr>
        <w:jc w:val="both"/>
        <w:ind w:left="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400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27875" cy="4007485"/>
                    </a:xfrm>
                    <a:prstGeom prst="rect">
                      <a:avLst/>
                    </a:prstGeom>
                    <a:noFill/>
                  </pic:spPr>
                </pic:pic>
              </a:graphicData>
            </a:graphic>
          </wp:anchor>
        </w:drawing>
        <w:t>On January 23, 2026 (the “Closing Date”), the Company completed the acquisition (the “Acquisition”) of Circle8, a company organized under the laws of the Netherlands, pursuant to the terms of the Acquisition Agreement, dated January 22, 2026 (the “Acquisition Agreement”), by and among the Company, Axiom Partners GmbH (“Axiom”) and Circle8. Capitalized terms used herein, but not otherwise defined, have the meaning ascribed to such terms in the Acquisition Agreement, a copy of which has been filed with the SEC on Form 8-K on January 28, 2026.</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aggregate consideration delivered to Axiom (the “Purchase Price”) for the Circle8 equity was delivered as follows:</w:t>
      </w:r>
    </w:p>
    <w:p>
      <w:pPr>
        <w:spacing w:after="0" w:line="225" w:lineRule="exact"/>
        <w:rPr>
          <w:sz w:val="20"/>
          <w:szCs w:val="20"/>
          <w:color w:val="auto"/>
        </w:rPr>
      </w:pPr>
    </w:p>
    <w:p>
      <w:pPr>
        <w:jc w:val="both"/>
        <w:ind w:left="328" w:right="20" w:hanging="328"/>
        <w:spacing w:after="0" w:line="261"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Atlantic issued to Guus Franke (or his assignees) 12,516,070 shares of common stock (an acquisition date fair value of $48.3 million based on the Company’s closing share price of $3.86 as of January 23. 2026), par value $0.00001 per share (“Common Stock”) equal to 19.99% of the issued and outstanding shares of Common Stock as of 12:01 a.m. on the Closing Date (the “Initial Share Consideration”) in compliance with Nasdaq Listing Rule 5635; and</w:t>
      </w:r>
    </w:p>
    <w:p>
      <w:pPr>
        <w:spacing w:after="0" w:line="179" w:lineRule="exact"/>
        <w:rPr>
          <w:rFonts w:ascii="Times New Roman" w:cs="Times New Roman" w:eastAsia="Times New Roman" w:hAnsi="Times New Roman"/>
          <w:sz w:val="18"/>
          <w:szCs w:val="18"/>
          <w:color w:val="auto"/>
        </w:rPr>
      </w:pPr>
    </w:p>
    <w:p>
      <w:pPr>
        <w:jc w:val="both"/>
        <w:ind w:left="328" w:right="20" w:hanging="328"/>
        <w:spacing w:after="0" w:line="256"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Atlantic issued a convertible promissory note (the “Convertible Note”) to Axiom in the principal amount of $161,961,751.20 convertible into an aggregate of 53,291,744 shares of Common Stock equal to (i) 65,807,814 shares of Common Stock on a Fully Diluted Basis minus (ii) the 19.99% shares (12,516,070) of Common Stock issued to Mr. Franke as Initial Share Consideration (the “Convertible Note Consideration”). The 53,291,744 shares of Common Stock is equal to (i) 65,807,814 shares of Common Stock on a Fully Diluted Basis minus (ii) the 19.99% shares (12,516,070) of Common Stock issued to Mr. Franke as Initial Share Consideration (the “Convertible Note Consideration”) The Convertible Note will automatically convert into common shares of the Company upon the approval of the issuance of the shares by the shareholders of the Company.</w:t>
      </w:r>
    </w:p>
    <w:p>
      <w:pPr>
        <w:spacing w:after="0" w:line="18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In addition, in the event there is a forced conversion of the Convertible Promissory Note issued on June 18, 2024, as amended, to IDC Technologies, Inc. (as assigned), Atlantic shall increase the number of shares issued to Mr. Franke (or his assignees) as necessary, so that Mr. Franke shall receive the Convertible Note Consideration taking into account any shares issued under the Convertible Promissory Note as if the shares were issued prior to the closing date upon the same formula used to determine the Convertible Note Consideration.</w:t>
      </w:r>
    </w:p>
    <w:p>
      <w:pPr>
        <w:spacing w:after="0" w:line="180"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 xml:space="preserve">Our corporate headquarters are located at 270 Sylvan Avenue, Suite 2230, Englewood Cliffs, New Jersey 07632. Our main telephone number at that address is (201) 899-4470, and our website address is </w:t>
      </w:r>
      <w:r>
        <w:rPr>
          <w:rFonts w:ascii="Times New Roman" w:cs="Times New Roman" w:eastAsia="Times New Roman" w:hAnsi="Times New Roman"/>
          <w:sz w:val="18"/>
          <w:szCs w:val="18"/>
          <w:i w:val="1"/>
          <w:iCs w:val="1"/>
          <w:color w:val="auto"/>
        </w:rPr>
        <w:t>www.atlantic-international.com</w:t>
      </w:r>
      <w:r>
        <w:rPr>
          <w:rFonts w:ascii="Times New Roman" w:cs="Times New Roman" w:eastAsia="Times New Roman" w:hAnsi="Times New Roman"/>
          <w:sz w:val="18"/>
          <w:szCs w:val="18"/>
          <w:color w:val="auto"/>
        </w:rPr>
        <w:t>. The information on our website is not part of this prospectus supplement. We have included our website address as a factual reference and do not intend it to be an active link to our website.</w:t>
      </w: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364"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4693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27875" cy="4693285"/>
                    </a:xfrm>
                    <a:prstGeom prst="rect">
                      <a:avLst/>
                    </a:prstGeom>
                    <a:noFill/>
                  </pic:spPr>
                </pic:pic>
              </a:graphicData>
            </a:graphic>
          </wp:anchor>
        </w:drawing>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5" w:lineRule="exact"/>
        <w:rPr>
          <w:sz w:val="20"/>
          <w:szCs w:val="20"/>
          <w:color w:val="auto"/>
        </w:rPr>
      </w:pPr>
    </w:p>
    <w:p>
      <w:pPr>
        <w:ind w:left="640" w:right="2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360"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Prior to making a decision about investing in our securities, you should carefully consider the risks, uncertainties and assumptions set forth below as well as those discussed under “Part I—Item 1A—Risk Factors” of our most recent Annual Report on Form 10-K and under “Part II-Item 1A-Risk Factors” in our most recent Quarterly Reports on Form 10-Q and Current Reports on Form 8-K,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Please also carefully read the sections titled “Cautionary Note Regarding Forward-Looking Statements,” “Where You Can Find More Information”; “Incorporation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SPP Credit Advisors LLC and Rick Arrowsmith v. Atlantic International Corp et al. In the Court of Chancery of The State of Delaware (Case No. 2026-0448-JTL)</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in our Form 10-K for December 31, 2025, on April 2, 2026, Rick Arrowsmith, on behalf of SPP, and in response to the Company’s and its Lyneer Subsidiaries’ commencement on the same day of a lawsuit against SPP, commenced a lawsuit in the Court of Chancery of the State of Delaware against the Company, its’ officers and former officers, based on the unfounded alleged events of default, the plaintiff, appointed by SPP to take managerial control of the Lyneer subsidiaries. The plaintiff is seeking declaratory relief that he was able to remove all officers of the Company and is entitled to declaratory, preliminary and permanent injunctive relief to take control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27, 2026, the Court entered a Status Quo Order (the “Order”). The Order controls the governance and management of the Lyneer Subsidiaries pending (a) a final disposition of the matter, or (b) an order that expressly modifies or supersedes the Order. The Order requires Lyneer to operate in the ordinary course of business (as defined) and to provide Mr. Arrowsmith with certain current financial statements as reasonably requested.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SPP Lyneer Term Note Default Notice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30, 2026, SPP notified Atlantic and Lyneer that certain events of default have occurred and are continuing under the Financing Agreement. SPP asserted that the events of default related to our failure to satisfy certain financial and non-financial covenants under the Financing Agreement of the Term Note By letter dated April 30, 2026, SPP notified Atlantic and Lyneer that certain additional Events of Default had occurred, specifically as a result of</w:t>
      </w:r>
    </w:p>
    <w:p>
      <w:pPr>
        <w:spacing w:after="0" w:line="1"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Events of Default set forth in a statement from SLR to Lyneer Staffing dated April 17, 2026 (the “SLR Default”) as described below, and</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payments made to or for the benefit of Atlantic.</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SPP has attempted to exercise its pledge and has sought to try to replace the management of Lyneer. The Company believes it has meritorious defense to the claims of SPP and, as described above, has commenced a lawsuit to contest SPP’s actions, however is in active negotiations to settle all litigation.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SPP Credit Agreement Default Notice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Simultaneously with the default letter under the Financing Agreement as described above, SPP notified the Company of certain events of default under</w:t>
      </w:r>
    </w:p>
    <w:p>
      <w:pPr>
        <w:spacing w:after="0" w:line="27" w:lineRule="exact"/>
        <w:rPr>
          <w:sz w:val="20"/>
          <w:szCs w:val="20"/>
          <w:color w:val="auto"/>
        </w:rPr>
      </w:pPr>
    </w:p>
    <w:p>
      <w:pPr>
        <w:jc w:val="both"/>
        <w:ind w:firstLine="8"/>
        <w:spacing w:after="0" w:line="253" w:lineRule="auto"/>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dated June 18, 2024, and (b) the Pledge and Security Agreement dated as of June 18, 2024. By letter dated April 30, 2026, SPP notified Atlantic and Lyneer of certain additional Events of Default, specifically, as a result of (i) various Events of Default described in the above-described SLR Letter, (ii) various Events of Default described in the Default Notice dated March 30, 2026 from SPP to Lyneer, and (iii) permitting a subsidiary of Atlantic to make certain payments to or for the benefit of Atlantic.</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believes it has meritorious defenses to the claims of SPP and, as previously reported, has commenced a lawsuit to contest SPP’s actions, however is in active negotiations to settle all litigation.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could lose all or part of your investment.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You may be unable to sell your shares of Common Stock at or above the offering price. The market prices of our Common Stock could be subject to wide fluctuations in response to a variety of factors, which include:</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partners or suppliers relating directly or indirectly to our products, services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laws or regulations applicable to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achievement of significant milestones;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or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guidance and ratings issued by securities or industry analysts;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conditions.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the forgoing occurs, it could cause our Common Stock or trading volumes to decline. Stock markets in general and the small-cap market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prices of our Common Stock. You may not realize any return on your investment in us and may lose some or all of your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be subject to rapid and substantial volatility.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public offerings, especially among those with relatively smaller public floats. As a smaller-capitalization company with a small public float, we may experience greater stock price volatility, extreme price run-ups, lower trading volume, and less liquidity than larger-capitalization companies. In particular, our Common Stock may be subject to rapid and substantial price volatility, low volumes of trades, and large spreads in bid and asked prices. Such volatility, including any stock run-ups, may be unrelated to our actual or expected operating performance and financial condition or prospects, making it difficult for prospective investors to assess the rapidly changing value of our shares of 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trading volumes of our Common Stock are low, persons buying or selling in relatively small quantities may easily influence the price of our Common Stock. This low volume of trades could also cause the price of our Common Stock to fluctuate greatly, with large percentage changes in price occurring in any trading day session. Holders of our Common Stock may also not be able to readily liquidate their investment or may be forced to sell at depressed prices due to low volume trading. Broad market fluctuations and general economic and political conditions may also adversely affect the market price of our Common Stock. As a result of this volatility, investors may experience losses on their investment in our Common Stock. A decline in the market price of our Common Stock also could adversely affect our ability to issue additional shares of Common Stock or other of our securities and our ability to obtain additional financing in the future. There can be no assurance that an active market in our Common Stock will be sustained. If an active market is not sustained, holders of our Common Stock may be unable to readily sell the shares they hold or may not be able to sell their shares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management’s attention.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shares become subject to the penny stock rules, it would become more difficult to trade our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fail to maintain a listing on the Nasdaq Stock Market, and, if the price of the Common Stock trades at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 may have difficulty selling their shares.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could make our Common Stock less attractive to investors.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may remain an emerging growth company until as late as December 2026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$700,000,000 as of any June 30, in which case we would cease to be an emerging growth company as of the following December 31, or (2) if our gross revenue exceeds $1.235 billion in any fiscal year. Emerging growth companies may take advantage of certain exemptions from various reporting requirements that are applicable to other public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Section 102 of the JOBS Act also provides that an emerging growth company can take advantage of the extended transition period provided in Section 7(a)(2)(B) of the Securities Act of 1933, as amended, or the Securities Act, for complying with new or revised accounting standards. An emerging growth company can therefore delay the adoption of certain accounting standards until those standards would otherwise apply to private companies. We have irrevocably elected to avail ourselves of this exemption from new or revised accounting standards and, therefore, we will not be subject to the same new or revised accounting standards as other public companies that are not emerging growth companies.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public company effective dates.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elected to use the extended transition period for complying with new or revised accounting standards under Section 102(b)(1)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 and thus investors may have difficulty evaluating or comparing our business, performance or prospects in comparison to other public companies, which may have a negative impact on the value and liquidity of our Common Stock.</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 more difficult and may prevent attempts by our Stockholder to replace or remove our current management and limit the market price of our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 up to 20,000,000 shares of undesignated preferred stock (of which 5,600 shares have been designated as Series B 5% Convertible Preferred Stock) and up to 300,000,000 shares of authorized but unissued shares of Common Stock;</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 can be called only by our board of directors, the Chairman of the Board, the Chief Executive Officer or the President;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 to replace or remove our current management by making it more difficult for Stockholder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 owning in excess of 15% of our outstanding voting stock to merge or combine with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or preferred stock, or options or warrants to purchase those stock, would dilute investors’ proportionate ownership and voting rights. Our issuance of preferred stock, or options or warrants to purchase those shares, could negatively impact the value of investors’ investment in our common stock as the result of preferential voting rights or veto powers, dividend rights, disproportionate rights to appoint directors to our board, conversion rights, redemption rights and liquidation provisions granted to the preferred stockholders, including the grant of rights that could discourage or prevent the distribution of dividends to stockholders, or prevent the sale of our assets or a potential takeover of our Company that might otherwise result in stockholders receiving a distribution or a premium over the market price for investors’ common shares.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entitled, under our certificate of incorporation to issue up to 300,000,000 common and 20,000,000 “blank check” preferred shares. After taking into consideration our outstanding common and preferred shares as of July 1, 2026 we will be entitled to issue up to 210,036,826 additional common shares and 19,994,250 preferred shares. On March 20, 2026, we sold 5,600 shares of Series B 5% Convertible Preferred Stock (“Series B Preferred Stock”),with a stated value of $1,070 per share (total value of $5,992,000) to an institutional investor. An additional 150 shares of Series B Preferred Stock, with an aggregate stated value of $160,500, were issued to this institutional investor on June 30, 2026. These shares rank senior to the Company’s common stock and have no voting rights, except as long as any shares of Preferred Stock are outstanding, the Company shall not, without the affirmative vote of the Holders of a majority of the then outstanding shares of Series B Preferred Stock, (a) alter or change adversely the powers, preferences or rights given to the Preferred Stock or alter or amend the Certificate of Designation, (b) authorize or create any class of stock ranking as to dividends, redemption or distribution of assets upon a Liquidation, senior to, or otherwise pari passu with, Series B Preferred Stock (c) amend its certificate of incorporation or other charter documents in any manner that adversely affects any rights of the Series B Preferred Stockholders, (d) issue any new shares of this Series B Preferred Stock to any other holders, or (e) enter into any agreement with respect to any of the foregoing. Our board may generally issue those common and preferred shares, or options or warrants to purchase those shares, without further approval by our stockholders based upon such factors as our board of directors may deem relevant at that time. Any preferred stock we may issue shall have such rights, preferences, privileges and restrictions as may be designated from time-to-time by our board, including preferential dividend rights, voting rights, conversion rights, redemption rights and liquidation provisions. It is likely that we will be required to issue a large amount of additional securities to raise capital to further our business strategy. It is also likely that we will be required to issue a large amount of additional securities to directors, officers, employees and consultants as compensatory grants in connection with their services, both in the form of stand-alone grants or under our various stock plans. We cannot guarantee that we will not issue additional common or preferred shares, or options or warrants to purchase those shares, under circumstances we may deem appropriate at the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certain litigation that may be initiated by our Stockholder.</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be the sole and exclusive forum for the following types of actions or proceedings under Delaware statutory law or Delaware common law, subject to certain exceptions: (1) any derivative action or proceeding brought on our behalf; (2) any action asserting a claim of breach of a fiduciary duty or other wrongdoing by any of our directors, officers, employees or agents to us or our Stockholder; (3) any action asserting a claim against us arising pursuant to provisions of the Delaware General Corporation Law or our amended and restated certificate of incorporation or amended and restated bylaws; or (4) any action asserting a claim governed by the internal affairs doctrine. The choice of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 By agreeing to the exclusive forum provisions, investors will not be deemed to have waived our compliance obligations with any federal securities laws or the rules and regulations thereunder.</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 and, as a result, capital appreciation, if any, of our Common Stock will be your sole source of gain for the foreseeable future.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we do not anticipate paying any cash dividends on our Common Stock in the foreseeable future. We currently intend to retain all available funds and any future earnings to fund the development and growth of our business. In addition, any future loan arrangements we enter into may contain terms prohibiting or limiting the amount of dividends that may be declared or paid on our Common Stock. As a result, capital appreciation, if any, of our Common Stock offered hereby will be your sole source of gain for the foreseeable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net proceeds from the sale of the Common Stock covered by this prospectus supplement will go to the Selling Stockholder who offer and sell their shares of Common Stock. We do not sell any securities under this prospectus supplement and will not receive any of the proceeds from the sale of shares of Common Stock by the Selling Stockholder.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OF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presently listed on the Nasdaq Global Market under the symbol “ATLN”. On July 1, 2026, the last reported sale price of our common stock was $0.90.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1, 2026, we had 89,963,174 shares issued and outstanding of our Common Stock. We had approximately 304 registered holders of record of our Common Stock. A Substantially greater number of holders of our Common Stock are “street name” or beneficial holders, whose shares of record are held through banks, brokers, other financial institutions and registered clearing agencies.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supplement relates to the possible resale of up to 3,586,227 shares (subject to adjustment) of our Common Stock held by the Selling Stockholder.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of Common Stock (“Conversion Shares”) being offered by the Selling Stockholder are up to 3,586,227 shares issuable to the Selling Stockholder, upon conversion of Series B 5% Convertible Preferred Stock (“Preferred Stock”) and upon exercise of Preferred Stock Purchase Warrants (“Warrants”). We reserve the right to allocate Shares issuable between Preferred Stock and Warrants. For additional information regarding the issuances, see “Description of the Securities Offered Hereby” below. We are registering the Shares in order to permit the Selling Stockholder to offer the shares for resale from time to time. The Selling Stockholder is presently a holder of the Preferred Stock and Warrants.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of the shares of Common Stock held by the Selling Stockholder. The second column lists the number of shares of Common Stock beneficially owned by the Selling Stockholder, based on its ownership of shares of Common Stock, as of the date of this prospectus supplement, assuming conversion of the Preferred Stock and exercise of the Warrants on that date, without regard to any limitations on conversion or exercise. The third column lists the shares of Common Stock being offered by this prospectus supplement by the Selling Stockholder.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Preferred Stock and Warrants, this prospectus supplement generally covers the resale of the maximum number of shares of Common Stock issuable upon conversion of the Preferred Stock and existence of the Warrants, determined as if the Preferred Stock were converted in full and Warrants exercised in full as of the trading day immediately preceding the date of this prospectus supplement, without regard to any limitations on the conversion of the Preferred Stock and exercise of the Warrants. The fourth column assumes the sale of all of the shares of common Stock offered by the Selling Stockholder pursuant to this prospectus supplement.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Stockholder will in fact dispose of any or all of shares of Common Stock. Any revised or new information given to us by the Selling Stockholder may be set forth in a prospectus supplement or amendments to the registration statement of which this prospectus supplement is a part, if and when necessary. Please see the section entitled “Plan of Distribution” for further information regarding the selling Stockholder’ method of distributing these securities.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number of shares and percentages of beneficial ownership set forth below are based on 87,876,318 shares of our Common stock outstanding as of June 26, 2026. Beneficial ownership is determined under the SEC rules and regulations and generally includes voting or investment power over securities. We have prepared the table based on information given to us by, or on behalf of, the selling Stockholder.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Beneficially Owned Prior</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45"/>
        </w:trPr>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to the Offering</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Being</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After the Offering</w:t>
            </w:r>
          </w:p>
        </w:tc>
      </w:tr>
      <w:tr>
        <w:trPr>
          <w:trHeight w:val="223"/>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 (1):</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Leviston Resources LLC</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3,586,227(2)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3,586,227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the Selling Stockholder is Leviston Resources, LLC 78 SW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Miami, FL 33130.</w:t>
      </w:r>
    </w:p>
    <w:p>
      <w:pPr>
        <w:spacing w:after="0" w:line="101" w:lineRule="exact"/>
        <w:rPr>
          <w:rFonts w:ascii="Times New Roman" w:cs="Times New Roman" w:eastAsia="Times New Roman" w:hAnsi="Times New Roman"/>
          <w:sz w:val="36"/>
          <w:szCs w:val="36"/>
          <w:color w:val="auto"/>
          <w:vertAlign w:val="superscript"/>
        </w:rPr>
      </w:pPr>
    </w:p>
    <w:p>
      <w:pPr>
        <w:jc w:val="both"/>
        <w:ind w:left="340" w:hanging="332"/>
        <w:spacing w:after="0" w:line="25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3,586,227 shares of Common Stock issuable upon conversion of Preferred stock and upon exercises of Warrants pursuant to the terms of the Preferred Stock and Warrants, with the right to allocate Shares issuable between Preferred Stock and Warrants. The Preferred Stock and Warrants are subject to a beneficial ownership limitation, which provides that a holder may not convert any portion of its Warrants into shares of Common Stock to the extent that such conversion would result in the holder and its affiliates and attribution parties beneficially owning more than 4.99% (or, upon the holder’s election, 9.99%) of the outstanding Common Stock immediately after giving effect to such conversion. A holder may decrease the limitation upon at least 61 days’ prior notice to us or increase this limitation, provided that the limitation may never exceed 9.99%. The number of shares of Common Stock in the column titled “Shares Beneficially Owned Prior to this Offering” gives effect to such beneficial ownership limitation. Mr. Roman Rogul has the power to vote and dispose of these shares. However, Mr. Rogul disclaims beneficial ownership of the Company’s securities reported herein except to the extent of his pecuniary interest therein.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registering the shares covered by this prospectus supplement to permit the Selling Stockholder to sell shares of Common Stock directly to purchasers or through underwriters, broker-dealers or agents from time to time after the date of this prospectus supplement. We will not receive any of the proceeds of the sale of the shares offered by this prospectus supplement. The aggregate proceeds to the Selling Stockholder from the sale of the shares will be the purchase price of the shares less any discounts and commissions. The Selling Stockholder reserves the right to accept and, together with its respective agents, to reject, any proposed purchases of shares to be made directly or through agents.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 and any of its pledgees, assignees and successors-in-interest may, from time to time, sell any or all of their shares of Common Stock offered by this prospectus supplement on any stock exchange, market or trading facility on which the shares are traded or in private transactions. These sales may be at fixed, varying or privately negotiated prices. The Selling Stockholder may use any one or more of the following methods when selling the shares offered by this prospectus supplement:</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or broker-dealers may agree with the Selling Stockholder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these sales, the Selling Stockholder may enter into hedging transactions with underwriters, broker-dealers or other financial institutions that in turn may:</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short sales of the shares of Common Stock in the course of hedging their positions;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shares of Common Stock short and deliver the shares of Common Stock to close out short positions;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shares of the Common Stock to underwriters, broker-dealers or other financial institutions that in turn may sell shares of the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transactions with underwriters, broker-dealers or other financial institutions that require the delivery to the underwriter, broker-dealer or other financial institution of the shares of Common Stock, which the underwriter, broker-dealer or other financial institution may resell under the prospectus supplement;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 which a underwriter or broker-dealer makes purchases as a principal for resale for its own account or through other types of transactions.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broker-dealers to participate in sales. Broker-dealers may receive commissions or discounts from the Selling Stockholder (or, if any broker-dealer acts as agent for the purchaser of shares, from the purchaser) in amounts to be negotiated. The Selling Stockholder does not expect these commissions and discounts to exceed what is customary in the types of transactions involved.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(“FINRA”), the aggregate maximum discount, commission or agency fees or other items constituting underwriting compensation to be received by any FINRA member or independent broker-dealer will not exceed 8% of the proceeds from any offering pursuant to this prospectus supplement.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shares covered by this prospectus supplement that qualify for sale under Rule 144 or Rule 144A of the Securities Act may be sold under Rule 144 or Rule 144A rather than under this prospectus supplement. The shares covered by this prospectus supplement may also be sold to non-U.S. persons outside the U.S. in accordance with Regulation S under the Securities Act rather than under this prospectus supplement. The shares may be sold in some states only through registered or licensed brokers or dealers. In addition, in some states the shares may not be sold unless they have registered or qualified for sale or an exemption from registration or qualification is available and complied with.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is a summary of our capital stock and certain provisions of our certificate of incorporation and bylaws. This summary does not purport to be complete and is qualified in its entirety by the provisions of our certificate of incorporation, as amended, our bylaws and applicable provisions of the Delaware General Corporation Law (the “DGCL”).</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See “Where You Can Find More Information” elsewhere in this prospectus supplement for information on where you can obtain copies of our certificate of incorporation and our bylaws, which have been filed with and are publicly available from the SEC. Our authorized capital stock consists of 300,000,000 shares of Common Stock, par value $0.00001 per share, and 20,000,000 shares of preferred stock, par value $0.00001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1, 2026, there were 89,963,174 shares of our Common Stock issued and outstanding held by approximately 304 Stockholders of record.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rights of any holders of any outstanding shares or series of preferred stock, holders of Common Stock are entitled to the payment of dividends when and as declared by our board of directors in accordance with applicable law and to receive other distributions.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provided by law or in a preferred stock designation, holders of Common Stock are entitled to one vote for each share held of record on all matters submitted to a vote of the Stockholder, have the exclusive right to vote for the election of directors and do not have cumulative voting rights. Except as otherwise required by law, holders of Common Stock are not entitled to vote on any amendment to the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our Certificate of Incorporation (including any certificate of designations relating to any series of preferred stock) or pursuant to the DGCL.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rights of any holders of any outstanding shares or series of preferred stock, in the event of any liquidation, dissolution or winding up of our affairs, whether voluntary or involuntary, our funds and assets, to the extent they may be legally distributed to holders of Common Stock, shall be distributed among the holders of the then outstanding Common Stock pro rata in accordance with the number of shares of Common Stock held by each such holder.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 and Preferences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outstanding shares of Common Stock are fully paid and non-assessable. The holders of Common Stock have no pre-emptive or other subscription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“ATLN.”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VStock Transfer, LLC. The address of VStock Transfer, LLC is 18 Lafayette Place, Woodmere, NY 11598 and its telephone number is (212) 828-8436.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designated 5,750 shares of our preferred stock as Series B 5% Convertible Preferred Stock (the Preferred Stock”). Each Share shall have a Stated Value equal to $1,070 per share, with a par value of $0.00001 per share. The Preferred Stock shall rank senior to the Company’s Common Stock with respect to dividends (the Preferred Stock shall pay a dividend of 5.0%, payable in cash or shares of the Preferred Stock) redemption rights, distributions and payments upon the liquidation, dissolution and winding up of the Company.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otherwise provided in the Certificate of Designations or as otherwise required by law, the Preferred Stock shall have no voting rights. However, as long as any shares of Preferred Stock are outstanding, the Corporation shall not, without the affirmative vote of the holders of a majority of the then outstanding shares of this Preferred Stock, (a) alter or change adversely the powers, preferences or rights given to the Preferred Stock or alter or amend this Certificate of Designation, (b) authorize or create any class of stock ranking as to dividends, redemption or distribution of assets upon liquidation n (as defined in in the Certificate of Designation) senior to, or otherwise pari passu with, the Preferred Stock, (c) amend its Certificate or Articles of Incorporation or other charter documents in any manner that adversely affects any rights of the holders or, (d) increase the number of authorized shares of Preferred Stock, or (e) enter into any agreement with respect to any of the foregoing.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Preferred Stock may be converted into such number of shares of Common Stock as equals the stated value of the Preferred Stock divided by the applicable Conversion Price. The Conversion Price will initially be equal to $4.38, the Closing Price of the Common Stock on the Closing Date and will remain fixed for the first 30 calendar days following the Closing Date of the Offering (the “Initial Conversion Price Period”) (the “Initial Conversion Price”). After the Initial Conversion Price Period, the Conversion Price will be the lesser of: (i) the average of the three lowest closing prices of the Common Stock during the ten trading days immediately preceding the conversion date, and (ii) 110% of the Closing Price on the Closing Date. If, during the Initial Conversion Price Period, the lowest Closing Price falls below 85% of the Initial Conversion Price, the Conversion Price will instead be determined as the lesser of clauses (i) and (ii) above.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The Conversion Price will also be subject to a Floor Price, which will initially be set at $2.25. The Floor Price will be subject to a one-time reset. On the fortieth business day following the Closing Date (the “Floor Reset Date”), the Floor Price was reset to $.8255 equal to 65% of the lowest closing price of the Common Stock during the fifteen (15) trading days immediately preceding the Floor Reset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at any time commencing thirty business days after the Closing Date of the Offering, at its sole option, purchase back some or all of the Preferred Stock then outstanding, at the price equal to 110% of the value of the outstanding Preferred Stock (the “Optional Redemption Amount”), upon a prior written notice to the Purchaser given at least thirty days before the date of such purchase (the “Optional Redemption Notice”.) The Purchaser shall continue to have the right to convert the Preferred Stock at the Conversion Price after receipt of an Optional Redemption Notice and prior to the payment of the Optional Redemption Amount.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by the Company, which includes a merger, sale of all or substantially all the assets of the Company, recapitalization, reorganization, or the sale by the Company of shares resulting in more than 50% ownership by a person or group, the holders of the Preferred Stock shall have the right to convert their shares of Preferred Stock into the shares of common stock of the successor or acquiring corporation or the shares of Common Stock of the Company, if it is the surviving entity, and receive any additional consideration receivable as a result of such Fundamental Transaction by a holder of shares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Closing Date of the Offering, we issued a Preferred Stock Warrant (the “Warrants”) to purchase 5,600 shares of Preferred Stock.</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Warrants are exercisable, in full or in part, at any time up to and including February 20, 2027, the eleven-month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of the Offering.</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prices for the Warrants will be $1,000 per share of Preferred Stock (the “Warrant Shares”). The exercise price and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Warrant Shares issuable upon exercise is subject to adjustment in the event of stock dividends and distributions, stock splits, subsequent rights offerings, as provided under the terms of the Warrants. The Warrants are exercisable, at the option of each holder, in whole or in part by delivering to the Company a duly executed exercise notice. In addition to any other rights available to the holder, if the Company fails to transmit to the holder the Warrant Shares in accordance with the provisions of the Warrant, the holder may, in its sole discretion, elect to receive cash settlement in accordance with the formula set forth in the Warrant.</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Warrants, the holder of a Warrant does not have the rights or privileges of a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Preferred Stock, including any voting rights, until the holder exercises the Warrant.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In the event of a sale of the Company or other Fundamental Transaction prior to the expiration or exercise of the Warrants,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Warrants shall have a right to receive, for each share of Common Stock that would have been issuable upon conversion of the Warrant Shares that would have been issuable upon such exercise immediately prior to the occurrence of such Fundamental Transaction, at the option of the holder, the equivalent number of shares of Common Stock of the successor or acquiring corporation or of the Company, if it is the surviving corporation, and any additional consideration receivable as a result of such Fundamental Transaction by a holder of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Beneficial Ownership</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Exercise Limitation. </w:t>
      </w:r>
      <w:r>
        <w:rPr>
          <w:rFonts w:ascii="Times New Roman" w:cs="Times New Roman" w:eastAsia="Times New Roman" w:hAnsi="Times New Roman"/>
          <w:sz w:val="18"/>
          <w:szCs w:val="18"/>
          <w:color w:val="auto"/>
        </w:rPr>
        <w:t>The holder will not have the right to exercise any portion of the Warrants if the holder (together with its affiliates) would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in excess of 4.99% of the number of shares of Common Stock outstanding immediately after giving effect to the exercise, as such percentage ownership is determined in accordance with the terms of the Warrants. A Holder, upon notice the Company, may increase or decrease the Beneficial Ownership Limitation provisions provided that the Beneficial Ownership Limitation in no event exceeds 9.99% of the number of shares of the Common Stock outstanding immediately after giving effect to the issuance of shares of conversion of Warrants held by the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Warrants may be offered for sale, sold, transferred or assigned without our consent.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declared any common stock dividends to date. We have no present intention of paying any cash dividends on our common stock in the foreseeable future, as we intend to use earnings, if any, to generate growth. The payment by us of dividends, if any, in the future, is within the discretion of our board of directors and will depend upon, among other things, our earnings, capital requirements and financial condition, as well as other relevant factors. There are no material restrictions in our Certificate of Incorporation, as amended, or Bylaws that restrict us from declaring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1, 2026, we had 89,963,174 shares of common stock outstanding. Of this amount 24,810,495 shares of common stock held by existing shareholders are deemed “restricted securities” as that term is defined in Rule 144 and may not be resold except pursuant to an effective registration statement or an applicable exemption from registration, including Rule 144. As of the date of this prospectus supplement, all but approximately 12,516,070 of such shares are currently eligible for sale, subject to the limitations of Rule 144.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under Rule 144, a person who is not our affiliate and has not been our affiliate at any time during the preceding three months will be entitled to sell any shares of our share capital that such person has held for at least six months, including the holding period of any prior owner other than one of our affiliates, without regard to volume limitations. Sales of our share capital by any such person would be subject to the availability of current public information about us if the shares to be sold were held by such person for less than one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under Rule 144, a person may sell shares of our share capital acquired from us immediately upon the completion of this offering, without regard to volume limitations or the availability of public information about us, if:</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not our affiliate and has not been our affiliate at any time during the preceding three months;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person has beneficially owned the shares to be sold for at least six months, including the holding period of any prior owner other than one of our affiliates.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affiliates who have beneficially owned shares of our share capital for at least six months, including the holding period of any prior owner other than another of our affiliates, would be entitled to sell within any three-month period those shares and any other shares they have acquired that are not restricted securities, provided that the aggregate number of shares sold does not exceed the greater of:</w:t>
      </w:r>
    </w:p>
    <w:p>
      <w:pPr>
        <w:spacing w:after="0" w:line="176"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authorized share capital then outstanding, which will equal approximately 899,631 shares of common stock as of the date of this prospectus supplement;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in our shares of common stock when they are listed on a National Securities Exchange during the four calendar weeks preceding the filing of a notice on Form 144 with respect to such sale.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are generally subject to the availability of current public information about us, as well as certain “manner of sale” and notice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material changes in the Company’s affairs have occurred since December 31, 2025, which have not been described in a report on Form 10-Q or Form 8-K filed under the Exchange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by this prospectus supplement will be passed upon for us by Davidoff Hutcher &amp; Citron LLP (“DHC”), New York, New York. DHC owns 20,000 shares of Common Stock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Atlantic International and its subsidiaries as of and for the years ended December 31, 2024 and 2023 incorporated by reference in this prospectus supplement have been audited by RBSM LLP, an independent registered public accounting firm as set forth in their report, and are incorporated in reliance upon such report given on the authority of such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3,586,227 Shares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International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2368550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INTERNATIONAL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offer from time-to-time shares of our common stock, preferred stock, warrants, subscription rights and units that include any of these securities. The aggregate initial offering price of the securities sold under this prospectus supplement will not exceed $250,000,000. We will offer the securities in amounts, at prices and on terms to be determined at the time of the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“ATLN.” On December 12, 2025, the last reported sale price prior to the date of this prospectus supplement, of the common stock on the Nasdaq Global Market was $1.53. The Shares may be sold at prevailing market prices or privately negotiated prices or in transactions that are not in the public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supplement that contains specific information about the offering and the amounts, prices and terms of the securities. The supplement may also add, update or change information contained in this prospectus supplement with respect to that offering. You should carefully read this prospectus supplement, the applicable prospectus supplement, as well as the documents incorporated or deemed to be incorporated by reference herein or therein, before you purchase any of our securities.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supplement and any prospectus supplement to or through one or more underwriters, dealers and agents, or directly to purchasers, or through a combination of these methods. These securities also may be resold by selling securityholders. If any underwriters, dealers or agents are involved in the sale of any of the securities, their names and any applicable purchase price, fee, commission or discount arrangement between or among them will be set forth, or will be calculable from the information set forth, in an applicable prospectus supplement. See the sections of this prospectus supplement entitled “About this Prospectus supplement” and “Plan of Distribution” for further information.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securities may be sold without delivery of this prospectus supplement and the applicable prospectus supplement describing the method and terms of the offering of such securities.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is highly speculative and involves a high degree of risk. You should carefully read and consider the “Risk Factors” beginning on page [ ] of this prospectus supplement before investing.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the federal securities laws and, as such, we have elected to comply with certain reduced public company reporting requirements for this prospectus supplement. See “Prospectus supplement Summary—Implications of Being an Emerging Growth Company and a Smaller Reporting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2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88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EXPLANATORY NOTE</w:t>
            </w:r>
          </w:p>
        </w:tc>
        <w:tc>
          <w:tcPr>
            <w:tcW w:w="2380" w:type="dxa"/>
            <w:vAlign w:val="bottom"/>
            <w:shd w:val="clear" w:color="auto" w:fill="CCEEFF"/>
          </w:tcPr>
          <w:p>
            <w:pPr>
              <w:spacing w:after="0"/>
              <w:rPr>
                <w:sz w:val="18"/>
                <w:szCs w:val="18"/>
                <w:color w:val="auto"/>
              </w:rPr>
            </w:pPr>
          </w:p>
        </w:tc>
      </w:tr>
      <w:tr>
        <w:trPr>
          <w:trHeight w:val="175"/>
        </w:trPr>
        <w:tc>
          <w:tcPr>
            <w:tcW w:w="88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ABOUT THIS PROSPECTUS SUPPLEMENT</w:t>
            </w:r>
          </w:p>
        </w:tc>
        <w:tc>
          <w:tcPr>
            <w:tcW w:w="2380" w:type="dxa"/>
            <w:vAlign w:val="bottom"/>
          </w:tcPr>
          <w:p>
            <w:pPr>
              <w:ind w:left="176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2740" w:type="dxa"/>
            <w:vAlign w:val="bottom"/>
            <w:tcBorders>
              <w:bottom w:val="single" w:sz="8" w:color="CCEEFF"/>
            </w:tcBorders>
            <w:gridSpan w:val="2"/>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ind w:left="17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176"/>
        </w:trPr>
        <w:tc>
          <w:tcPr>
            <w:tcW w:w="88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 INCORPORATION BY REFERENCE</w:t>
            </w:r>
          </w:p>
        </w:tc>
        <w:tc>
          <w:tcPr>
            <w:tcW w:w="2380" w:type="dxa"/>
            <w:vAlign w:val="bottom"/>
          </w:tcPr>
          <w:p>
            <w:pPr>
              <w:ind w:left="1740"/>
              <w:spacing w:after="0" w:line="176" w:lineRule="exact"/>
              <w:rPr>
                <w:sz w:val="20"/>
                <w:szCs w:val="20"/>
                <w:color w:val="auto"/>
              </w:rPr>
            </w:pPr>
            <w:r>
              <w:rPr>
                <w:rFonts w:ascii="Times New Roman" w:cs="Times New Roman" w:eastAsia="Times New Roman" w:hAnsi="Times New Roman"/>
                <w:sz w:val="18"/>
                <w:szCs w:val="18"/>
                <w:color w:val="auto"/>
              </w:rPr>
              <w:t>iv</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PROSPECTUS SUPPLEMENT SUMMARY</w:t>
            </w:r>
          </w:p>
        </w:tc>
        <w:tc>
          <w:tcPr>
            <w:tcW w:w="5380" w:type="dxa"/>
            <w:vAlign w:val="bottom"/>
            <w:tcBorders>
              <w:bottom w:val="single" w:sz="8" w:color="CCEEFF"/>
            </w:tcBorders>
            <w:gridSpan w:val="4"/>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8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238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75"/>
        </w:trPr>
        <w:tc>
          <w:tcPr>
            <w:tcW w:w="88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2380" w:type="dxa"/>
            <w:vAlign w:val="bottom"/>
            <w:shd w:val="clear" w:color="auto" w:fill="CCEEFF"/>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238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76"/>
        </w:trPr>
        <w:tc>
          <w:tcPr>
            <w:tcW w:w="88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2380" w:type="dxa"/>
            <w:vAlign w:val="bottom"/>
            <w:shd w:val="clear" w:color="auto" w:fill="CCEEFF"/>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238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8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2380" w:type="dxa"/>
            <w:vAlign w:val="bottom"/>
            <w:shd w:val="clear" w:color="auto" w:fill="CCEEFF"/>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26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6240" w:type="dxa"/>
            <w:vAlign w:val="bottom"/>
            <w:tcBorders>
              <w:top w:val="single" w:sz="8" w:color="CCEEFF"/>
            </w:tcBorders>
            <w:gridSpan w:val="8"/>
          </w:tcPr>
          <w:p>
            <w:pPr>
              <w:spacing w:after="0"/>
              <w:rPr>
                <w:sz w:val="15"/>
                <w:szCs w:val="15"/>
                <w:color w:val="auto"/>
              </w:rPr>
            </w:pPr>
          </w:p>
        </w:tc>
        <w:tc>
          <w:tcPr>
            <w:tcW w:w="2380" w:type="dxa"/>
            <w:vAlign w:val="bottom"/>
            <w:tcBorders>
              <w:top w:val="single" w:sz="8" w:color="CCEEFF"/>
            </w:tcBorders>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8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2380" w:type="dxa"/>
            <w:vAlign w:val="bottom"/>
            <w:shd w:val="clear" w:color="auto" w:fill="CCEEFF"/>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176"/>
        </w:trPr>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DIVIDEND POLICY</w:t>
            </w:r>
          </w:p>
        </w:tc>
        <w:tc>
          <w:tcPr>
            <w:tcW w:w="6720" w:type="dxa"/>
            <w:vAlign w:val="bottom"/>
            <w:tcBorders>
              <w:top w:val="single" w:sz="8" w:color="CCEEFF"/>
            </w:tcBorders>
            <w:gridSpan w:val="11"/>
          </w:tcPr>
          <w:p>
            <w:pPr>
              <w:spacing w:after="0"/>
              <w:rPr>
                <w:sz w:val="15"/>
                <w:szCs w:val="15"/>
                <w:color w:val="auto"/>
              </w:rPr>
            </w:pPr>
          </w:p>
        </w:tc>
        <w:tc>
          <w:tcPr>
            <w:tcW w:w="2380" w:type="dxa"/>
            <w:vAlign w:val="bottom"/>
            <w:tcBorders>
              <w:top w:val="single" w:sz="8" w:color="CCEEFF"/>
            </w:tcBorders>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7300" w:type="dxa"/>
            <w:vAlign w:val="bottom"/>
            <w:tcBorders>
              <w:bottom w:val="single" w:sz="8" w:color="CCEEFF"/>
            </w:tcBorders>
            <w:gridSpan w:val="14"/>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84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8020" w:type="dxa"/>
            <w:vAlign w:val="bottom"/>
            <w:gridSpan w:val="15"/>
          </w:tcPr>
          <w:p>
            <w:pPr>
              <w:spacing w:after="0"/>
              <w:rPr>
                <w:sz w:val="15"/>
                <w:szCs w:val="15"/>
                <w:color w:val="auto"/>
              </w:rPr>
            </w:pPr>
          </w:p>
        </w:tc>
        <w:tc>
          <w:tcPr>
            <w:tcW w:w="2380" w:type="dxa"/>
            <w:vAlign w:val="bottom"/>
          </w:tcPr>
          <w:p>
            <w:pPr>
              <w:jc w:val="center"/>
              <w:ind w:left="11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U.S. Securities and Exchange Commission, or the SEC, using a “shelf” registration process. Under this shelf registration process, we may sell shares of Common Stock, Preferred Stock (including convertible preferred shares), warrants for equity securities, units and subscription rights comprised of any combination thereof from time to time in one or more offerings for up to an initial aggregate offering price of $250,000,000. By using a shelf registration statement, we may sell securities from time to time and in one or more offerings as described in this prospectus supplement. This prospectus supplement provides you with a general description of the securities we may offer. Each time that we offer and sell securities, we will provide a prospectus supplement to this prospectus supplement that contains specific information about the securities being offered and sold and the specific terms of that offering. We may also authorize one or more free writing prospectus supplements to be provided to you that may contain material information relating to these offerings. In each prospectus supplement, we will include the following information:</w:t>
      </w:r>
    </w:p>
    <w:p>
      <w:pPr>
        <w:spacing w:after="0" w:line="18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that we propose to sell;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agents or dealers through or to which the securities will be sold;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agents or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risk factors applicable to the securities or our business and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information about the offering and sale of the securities.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there is any inconsistency between the information in this prospectus supplement, any applicable prospectus supplement or free writing prospectus supplement, you should rely on the prospectus supplement or free writing prospectus supplement, as applicable. However, no prospectus supplement will offer a security that is not registered and described in this prospectus supplement at the time of its effectiveness. This prospectus supplement, together with the applicable prospectus supplement and the documents incorporated by reference into this prospectus supplement, includes all material information relating to the offering of securities under this prospectus supplement. Before purchasing any securities, you should carefully read both this prospectus supplement and the applicable prospectus supplement(and any applicable free writing prospectus supplements), the information and documents incorporated herein by reference and the additional information described under the heading “Where You Can Find More Information; Incorporation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supplement may not be used to consummate a sale of securities unless it is accompanied by a prospectus supplement supplement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any prospectus supplement or any related free-writing prospectus supplement. We have not authorized anyone to provide you with any information or to make any representations other than those contained in or incorporated by reference into this prospectus supplement, any applicable prospectus supplement or any free writing prospectus supplements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supplement and the applicable prospectus supplement to this prospectus supplement is accurate only as of the date on its respective cover, that the information appearing in any applicable free writing prospectus supplement is accurate only as of the date of that free writing prospectus supplement, and that any information incorporated by reference is accurate only as of the date of the document incorporated by reference, unless we indicate otherwise. Our business, financial condition, results of operations and prospects may have changed since those dates. This prospectus supplement incorporates by reference, and any prospectus supplement or free writing prospectus supplement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supplement, any prospectus supplement or any applicable free writing prospectus supplement may involve estimates, assumptions and other risks and uncertainties and are subject to change based on various factors, including those discussed under the heading “Risk Factors” contained in our annual report on Form 10-K for the fiscal year ended December 31, 2024 under the heading “Part II - Item 1A. Risk Factors,” and as described or may be described in any subsequent quarterly report on Form 10-Q or current report on Form 8-K, as well as in any applicable prospectus supplement or any applicable free-writing prospectus supplement and contained or to be contained in our filings with the SEC and incorporated by reference in this prospectus supplement, together with all of the other information contained in this prospectus supplement, or any applicable prospectus supplement. Accordingly, investors should not place undue reliance on this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this prospectus supplement, applicable prospectus supplement or any related free writing prospectus supplement.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documents are not an offer to sell or a solicitation of an offer to buy these securities in any circumstances under which the offer or solicitation is unlawful, nor does this prospectus supplement, any applicable supplement to this prospectus supplement, or any applicable free writing prospectus supplement constitute an offer to sell or the solicitation of an offer to buy securities in any jurisdiction to any person to whom it is unlawful to make such offer or solicitation in such jurisdiction.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85"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for purposes of the safe harbor provisions provided by Section 27 of the Securities Act of 1933, as amended (the “Securities Act”) and Section 21E of the Securities Exchange Act of 1934, as amended (the “Exchange Act”),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and the accuracy and completeness of the publicly available information with respect to the factors upon which our business strategy is based or the success of our business.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contained in our annual report on Form 10-K for the fiscal year ended December 31, 2024, and as described or may be described in any subsequent quarterly report on Form 10-Q, or current report on Form 8-K, as well as in any applicable prospectus supplement and contained or to be contained in our filings with the SEC and incorporated by reference in this prospectus supplement, “Prospectus supplement Summary,” and elsewhere in this prospectus supplement.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 If you do not have Internet access, requests for copies of such documents should be directed to Michael V. Tenore, the Company’s General Counsel, at the Company’s headquarters, located at 270 Sylvan Avenue, Suite 2230, Englewood Cliffs, NJ 07632.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website address is www. https://www.atlantic-international.com. The information on, or accessible through, our website, however, is not, and should not be deemed to be, a part of this prospectus supplement.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supplement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(other than current reports furnished under Item 2.02 or Item 7.01 of Form 8-K and exhibits on such form that are related to such items)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supplement and any accompanying prospectus supplement incorporate by reference the documents set forth below that have previously been filed with the SEC since the end of the fiscal year ended December 31, 2024:</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Atlantic International </w:t>
      </w:r>
      <w:hyperlink r:id="rId44">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Proxy Statement filed with the SEC on September 17, 2025, as amended;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Atlantic International Annual Report on </w:t>
      </w:r>
      <w:hyperlink r:id="rId4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28, 2025;</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Atlantic Quarterly Reports on Form 10-Q for the quarters ended March 31, 2025, June 30, 2025, and September 30, 2025 filed with the SEC on </w:t>
      </w:r>
      <w:hyperlink r:id="rId46">
        <w:r>
          <w:rPr>
            <w:rFonts w:ascii="Times New Roman" w:cs="Times New Roman" w:eastAsia="Times New Roman" w:hAnsi="Times New Roman"/>
            <w:sz w:val="18"/>
            <w:szCs w:val="18"/>
            <w:u w:val="single" w:color="auto"/>
            <w:color w:val="0000EE"/>
          </w:rPr>
          <w:t>May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 xml:space="preserve">August 14,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November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88"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with the SEC on </w:t>
      </w:r>
      <w:hyperlink r:id="rId49">
        <w:r>
          <w:rPr>
            <w:rFonts w:ascii="Times New Roman" w:cs="Times New Roman" w:eastAsia="Times New Roman" w:hAnsi="Times New Roman"/>
            <w:sz w:val="18"/>
            <w:szCs w:val="18"/>
            <w:u w:val="single" w:color="auto"/>
            <w:color w:val="0000EE"/>
          </w:rPr>
          <w:t>January 13, 2025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February 28, 2025</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May 5, 2025</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August 11, 2025</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October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4">
        <w:r>
          <w:rPr>
            <w:rFonts w:ascii="Times New Roman" w:cs="Times New Roman" w:eastAsia="Times New Roman" w:hAnsi="Times New Roman"/>
            <w:sz w:val="18"/>
            <w:szCs w:val="18"/>
            <w:u w:val="single" w:color="auto"/>
            <w:color w:val="0000EE"/>
          </w:rPr>
          <w:t>November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 and</w:t>
      </w:r>
    </w:p>
    <w:p>
      <w:pPr>
        <w:spacing w:after="0" w:line="188"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descriptions of Atlantic International’s common stock which is registered under Section 12 of the Exchange Act, in Atlantic International’s registration statement on </w:t>
      </w:r>
      <w:hyperlink r:id="rId55">
        <w:r>
          <w:rPr>
            <w:rFonts w:ascii="Times New Roman" w:cs="Times New Roman" w:eastAsia="Times New Roman" w:hAnsi="Times New Roman"/>
            <w:sz w:val="18"/>
            <w:szCs w:val="18"/>
            <w:u w:val="single" w:color="auto"/>
            <w:color w:val="0000EE"/>
          </w:rPr>
          <w:t>Form S-1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333-280653), filed on July 2, 2024,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You may request, and we will provide you with, a copy of these filings, at no cost, by contacting us at:</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Atlantic International Corp.</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270 Sylvan Avenue, Suite 2230</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Englewood Cliffs, NJ</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Telephone: (201) 899-4470</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215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27875" cy="5215890"/>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supplement. The summary may not contain all of the information that may be important to you. You should read this entre prospectus supplement carefully, including our financial statements and related notes thereto and the documents incorporated by reference in this prospectus supplement and the risks described below under “Risk factors.” And as described or may be described in any subsequent quarterly report on Form 10-Q or Current Report on Form 8-K, as well as in any applicable prospectus supplement and contained or to be contained in our filings with the SEC and incorporated by reference in this prospectus supplement. We note that our actual results and future events may differ significantly based upon a number of factors. The reader should not put undue reliance on the forward-looking statements in this document, which speak only as of the date on the cover of this prospectus supplement.</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supplement, unless otherwise noted, the terms “the Company,” “Atlantic,” “we,” “us,” and “our” refer to Atlantic International Corp.</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Atlantic International Corp. (“Atlantic”) (Nasdaq: ATLN), through its subsidiaries, is a national strategic staffing firm servicing the commercial, professional, finance, direct placement, and managed service provider verticals. Lyneer was formed under the principles of honesty and integrity, and with the view of becoming the preferred outside employer of choice. Since its formation, the Company has grown from a regional operation to a national staffing firm with offices and geographic reach across the United States. The Company primarily places individuals in accounting and finance, administrative and clerical, information technology, legal, light industrial, and medical roles. Atlantic’s approximately 300 employees generated over $400 million in revenue for the year ended December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incorporated in Delaware under the name SeqLL Inc. on April 1, 2014. On June 13, 2024, the Company changed its name from SeqLL Inc. to Atlantic International Corp. On June 4, 2024 the Company, SeqLL Merger LLC, a Delaware limited liability company and wholly-owned subsidiary of the Company (“Purchaser Sub”), Atlantic Acquisition Corp, a Delaware corporation “Atlantic”, Atlantic Merger LLC, a Delaware limited liability company and a majority-owned subsidiary of Atlantic (“Atlantic Merger Sub”), Lyneer Investments, LLC, a Delaware limited liability company (“Lyneer”), and IDC Technologies, a California corporation (“IDC”), entered into the Merger Agreement pursuant to which (i) Atlantic Merger Sub was merged with and into Lyneer, with Lyneer continuing as the surviving entity and (ii) Purchaser Sub was merged with and into Lyneer with Lyneer continuing as the surviving entity and as a wholly-owned subsidiary of the Company, collectively by referred to as the Merger.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corporate headquarters are located at 270 Sylvan Avenue, Suite 2230, Englewood Cliffs, New Jersey 07632. Our main telephone number at that address is (201) 899-4470, and our website address is </w:t>
      </w:r>
      <w:r>
        <w:rPr>
          <w:rFonts w:ascii="Times New Roman" w:cs="Times New Roman" w:eastAsia="Times New Roman" w:hAnsi="Times New Roman"/>
          <w:sz w:val="18"/>
          <w:szCs w:val="18"/>
          <w:i w:val="1"/>
          <w:iCs w:val="1"/>
          <w:color w:val="auto"/>
        </w:rPr>
        <w:t>www.atlantic-international.com</w:t>
      </w:r>
      <w:r>
        <w:rPr>
          <w:rFonts w:ascii="Times New Roman" w:cs="Times New Roman" w:eastAsia="Times New Roman" w:hAnsi="Times New Roman"/>
          <w:sz w:val="18"/>
          <w:szCs w:val="18"/>
          <w:color w:val="auto"/>
        </w:rPr>
        <w:t>. The information on our website is not part of this prospectus supplement. We have included our website address as a factual reference and do not intend it to be an active link to our website.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804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27875" cy="4804410"/>
                    </a:xfrm>
                    <a:prstGeom prst="rect">
                      <a:avLst/>
                    </a:prstGeom>
                    <a:noFill/>
                  </pic:spPr>
                </pic:pic>
              </a:graphicData>
            </a:graphic>
          </wp:anchor>
        </w:drawing>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5" w:lineRule="exact"/>
        <w:rPr>
          <w:sz w:val="20"/>
          <w:szCs w:val="20"/>
          <w:color w:val="auto"/>
        </w:rPr>
      </w:pPr>
    </w:p>
    <w:p>
      <w:pPr>
        <w:ind w:left="660" w:right="20" w:hanging="331"/>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may be stated in the applicable prospectus supplement and any related free writing prospectus supplement that we may authorize to be provided to you, we intend to use the net proceeds we receive from the sale of the securities offered by this prospectus supplement for general corporate purposes, which may include, among other things, repayment of debt, repurchases of common stock, capital expenditures, the financing of possible acquisitions or business expansions, increasing our working capital and the financing of ongoing operating expenses and overhead.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securities offered by this prospectus supplement from time to time in one or more transactions, including without limitation:</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rights offering;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a prospectus supplement.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supplement to third parties in privately negotiated transactions. In connection with such a transaction, the third parties may sell securities covered by and pursuant to this prospectus supplement and any accompanying prospectus supplement. If so, the third party may use securities borrowed from us or others to settle such sales and may use securities received from us to close out any related short positions. We may also loan or pledge securities covered by this prospectus supplement and any accompanying prospectus supplement to third parties, who may sell the loaned securities or, in an event of default in the case of a pledge, sell the pledged securities pursuant to this prospectus supplement and any accompanying prospectus supplement.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with respect to any offering of securities will include the following information:</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direct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or public offering price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the securities may be listed.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dealers.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supplement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we will sell the securities to them as principals. They may then resell those securities to the public at fixed prices or at varying prices determined by the dealers at the time of resale. We will include in the applicable prospectus supplement the names of the dealers and the terms of the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Dealers and agents named in a prospectus supplement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Underwriters, dealers or agents and their associates may engage in other transactions with and perform other services for us in the ordinary course of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In this case, no underwriters or agents would be involved. We may also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Market Offerings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also sell the securities offered by any applicable prospectus supplement in “at the market offerings” within the meaning of Rule 415(a)(4) of the Securities Act, to or through a market maker or into an existing trading market, on an exchange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contracts would be subject only to those conditions described in the applicable prospectus supplement. The applicable prospectus supplement will describe the commission payable for solicitation of those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have agreements with the underwriters, dealers, agents and remarketing firms to indemnify them against certain civil liabilities, including liabilities under the Securities Act, or to contribute with respect to payments that the underwriters, dealers, agents or remarketing firms may be required to make. Underwriters, dealers, agents and remarketing firms may be customers of, engage in transactions with or perform services for us in the ordinary course of their businesses.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is a summary of our capital stock and certain provisions of our certificate of incorporation and bylaws. This summary does not purport to be complete and is qualified in its entirety by the provisions of our certificate of incorporation, as amended, our bylaws and applicable provisions of the Delaware General Corporation Law (the “DGCL”).</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See “Where You Can Find More Information” elsewhere in this prospectus supplement for information on where you can obtain copies of our certificate of incorporation and our bylaws, which have been filed with and are publicly available from the SEC. Our authorized capital stock consists of 300,000,000 shares of common stock, par value $0.00001 per share, and 20,000,000 shares of preferred stock, par value $0.00001 per share.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10, 2025, there were 58,525,488 shares of our common stock issued outstanding held by approximately 312 Stockholder of record.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rights of any holders of any outstanding shares or series of preferred stock, holders of common stock are entitled to the payment of dividends when and as declared by our board of directors in accordance with applicable law and to receive other distributions.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provided by law or in a preferred stock designation, holders of common stock are entitled to one vote for each share held of record on all matters submitted to a vote of the Stockholder, have the exclusive right to vote for the election of directors and do not have cumulative voting rights. Except as otherwise required by law, holders of common stock are not entitled to vote on any amendment to the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our Certificate of Incorporation (including any certificate of designations relating to any series of preferred stock) or pursuant to the DGCL.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Subject to the rights of any holders of any outstanding shares or series of preferred stock, in the event of any liquidation, dissolution or winding up of our affairs, whether voluntary or involuntary, our funds and assets, to the extent they may be legally distributed to holders of common stock, shall be distributed among the holders of the then outstanding common stock pro rata in accordance with the number of shares of common stock held by each such 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 and Preferences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shares of common stock are fully paid and non-assessable. The holders of common stock have no pre-emptive or other subscription rights.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“ATLN.”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VStock Transfer, LLC. The address of VStock Transfer, LLC is 18 Lafayette Place, Woodmere, NY 11598 and its telephone number is (212) 828-8436.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10, 2025, no shares of preferred stock had been issued or were outstanding.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This description is summarized from, and is qualified in its entirety by reference to, our Certificate of Incorporation and our Bylaws, to which you should refer and both of which are included as exhibits to the registration statement of which this prospectus supplement is a part. The summary below is also qualified by provisions of applicable law, including the DGCL.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to issue up to 20,000,000 shares of preferred stock in one or more series and to determine the rights and preferences of the shares of any such series without stockholder approval. Our board of directors may issue preferred stock in one or more series and has the authority to fix the designation and powers, rights and preferences and the qualifications, limitations or restrictions with respect to each class or series of such class without further vote or action by the Stockholder, unless action is required by applicable law or the rules of any stock exchange on which our securities may be listed. The ability of our board of directors to issue preferred stock without stockholder approval could have the effect of delaying, deferring or preventing a change of control of us or the removal of existing management. Further, our board of director may authorize the issuance of preferred stock with voting or conversion rights that could adversely affect the voting power or other rights of the holders of our common stock. Additionally, the issuance of preferred stock may have the effect of decreasing the market price of our common stock.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file as an exhibit to the registration statement of which this prospectus supplement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 but not be limited to, the following:</w:t>
      </w:r>
    </w:p>
    <w:p>
      <w:pPr>
        <w:spacing w:after="0" w:line="9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stock will be set forth in the applicable prospectus supplement.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warrants for the purchase of common stock and/or preferred stock in one or more series. We may issue warrants independently or together with common stock and/or preferred stock, and the warrants may be attached to or separate from these securities. While the terms summarized below will apply generally to any warrants that we may offer, we will describe the particular terms of any series of warrants in more detail in the applicable prospectus supplement. The terms of any warrants offered under a prospectus supplement may differ from the terms described below.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supplement is a part, or will incorporate by reference from reports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supplement. We urge you to read the applicable prospectus supplement supplements related to the particular series of warrants that we may offer under this prospectus supplement, as well as any related free writing prospectus supplements, and the complete warrant agreements and warrant certificates that contain the terms of the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United States 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warrants represented by the warrant certificate are not exercised, we will issue a new warrant certificate for the remaining amount of warrants. If we so indicate in the applicable prospectus supplement, holders of the warrants may surrender securities as all or part of the exercise price for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day of this prospectus supplement, we had outstanding warrants issued by SeqLL Inc. that are exercisable to purchase an aggregate of 92,036 shares of common stock at an exercise price of $181.33 per share that expire in August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rights to purchase our common stock or preferred stock, in one or more series. Rights may be issued independently or together with any other offered security and may or may not be transferable by the person purchasing or receiving the subscription rights. In connection with any rights offering to our Stockholder, we may enter into a standby underwriting arrangement with one or more underwriters pursuant to which such underwriters will purchase any offered securities remaining unsubscribed after such rights offering. In connection with a rights offering to our Stockholder, we will distribute certificates evidencing the rights and a prospectus supplement to our Stockholder on the record date that we set for receiving rights in such rights offering. The applicable prospectus supplement or free writing prospectus supplement will describe the following terms of rights in respect of which this prospectus supplement is being delivered:</w:t>
      </w:r>
    </w:p>
    <w:p>
      <w:pPr>
        <w:spacing w:after="0" w:line="18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such rights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rights issued to each security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are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such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rights shall commence, and the date on which such rights shall expire (subject to any extension);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rights offering;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rights, including terms, procedures and limitations relating to the exchange and exercise of such rights.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right will entitle the holder thereof the right to purchase for cash such amount of shares of common stock or preferred stock, or any combination thereof,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 Rights may be exercised as set forth in the prospectus supplement relating to the rights offered thereby. Upon receipt of payment and the proper completion and due execution of the rights certificate at the office of the rights agent, if any, or any other office indicated in the prospectus supplement, we will forward, as soon as practicable, the shares of common stock and/or preferred stock purchasable upon such exercise. We may determine to offer any unsubscribed offered securities directly to persons other than Stockholder, to or through agents, underwriters or dealers or through a combination of such methods, including pursuant to standby underwriting arrangements, as set forth in the applicable prospectus supplement.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 summarizes the material terms and provisions of the units that we may offer under this prospectus supplement. While the terms we have summarized below will apply generally to any units that we may offer under this prospectus supplement,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supplements related to the particular series of units that we may offer under this prospectus supplement, as well as any related free writing prospectus supplements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in one more series, units consisting of common stock, preferred stock and/or warrants or rights for the purchase of common stock and/or preferred stock in any combination. The applicable prospectus supplement will describe:</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comprising the units, including whether and under what circumstances the securities comprising the units may be separately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applicable to the units, including a description of the terms of any applicable unit agreement governing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Common Stock”, “Description of Preferred Stock”, “Description of Warrants” and “Description of Rights” will apply to each unit, as applicable, and to any common stock, preferred stock, warrant, or right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may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declared or paid cash dividends on our capital stock to date and do not anticipate or contemplate paying dividends in the foreseeable future. We intend to retain future earnings, if any, to finance the expansion of our business, and we do not anticipate that any cash dividends will be paid in the foreseeable future. Our future payment of dividends will depend on our earnings, capital requirements, expansion plans, financial condition and other relevant factors that our board of directors may deem relevant. Our accumulated deficit currently limits our ability to pay cash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by this prospectus supplement will be passed upon for us by Davidoff Hutcher &amp; Citron LLP (“DHC”), New York, New York. DHC owns 20,000 shares of common stock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Atlantic International and its subsidiaries as of and for the years ended December 31, 2024 and 2023 incorporated by reference in this prospectus supplement have been audited by RBSM LLP, an independent registered public accounting firm as set forth in their report, and are incorporated in reliance upon such report given on the authority of such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$250,000,000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Atlantic International Corp.</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842645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Roman"/>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12" Type="http://schemas.openxmlformats.org/officeDocument/2006/relationships/hyperlink" Target="http://www.sec.gov/Archives/edgar/data/1605888/000160588825000041/atln-20250916.htm" TargetMode="External"/><Relationship Id="rId13" Type="http://schemas.openxmlformats.org/officeDocument/2006/relationships/hyperlink" Target="https://www.sec.gov/ix?doc=/Archives/edgar/data/1605888/000160588826000017/altn-20251231.htm" TargetMode="External"/><Relationship Id="rId14" Type="http://schemas.openxmlformats.org/officeDocument/2006/relationships/hyperlink" Target="https://www.sec.gov/ix?doc=/Archives/edgar/data/1605888/000160588826000025/altn-20260331.htm" TargetMode="External"/><Relationship Id="rId15" Type="http://schemas.openxmlformats.org/officeDocument/2006/relationships/hyperlink" Target="https://www.sec.gov/ix?doc=/Archives/edgar/data/1605888/000160588826000037/altn-20260629.htm" TargetMode="External"/><Relationship Id="rId16" Type="http://schemas.openxmlformats.org/officeDocument/2006/relationships/hyperlink" Target="http://www.sec.gov/Archives/edgar/data/1605888/000121390024058504/ea0208755-s1_atlantic.htm" TargetMode="External"/><Relationship Id="rId44" Type="http://schemas.openxmlformats.org/officeDocument/2006/relationships/hyperlink" Target="https://www.sec.gov/Archives/edgar/data/1605888/000160588825000041/atln-20250916.htm" TargetMode="External"/><Relationship Id="rId45" Type="http://schemas.openxmlformats.org/officeDocument/2006/relationships/hyperlink" Target="https://www.sec.gov/Archives/edgar/data/1605888/000160588825000006/altn-20241231.htm" TargetMode="External"/><Relationship Id="rId46" Type="http://schemas.openxmlformats.org/officeDocument/2006/relationships/hyperlink" Target="http://www.sec.gov/Archives/edgar/data/1605888/000160588825000019/altn-20250331.htm" TargetMode="External"/><Relationship Id="rId47" Type="http://schemas.openxmlformats.org/officeDocument/2006/relationships/hyperlink" Target="http://www.sec.gov/Archives/edgar/data/1605888/000160588825000031/altn-20250630.htm" TargetMode="External"/><Relationship Id="rId48" Type="http://schemas.openxmlformats.org/officeDocument/2006/relationships/hyperlink" Target="http://www.sec.gov/Archives/edgar/data/1605888/000160588825000055/altn-20250930.htm" TargetMode="External"/><Relationship Id="rId49" Type="http://schemas.openxmlformats.org/officeDocument/2006/relationships/hyperlink" Target="https://www.sec.gov/Archives/edgar/data/1605888/000121390025003018/ea0227522-8k_atlantic.htm" TargetMode="External"/><Relationship Id="rId50" Type="http://schemas.openxmlformats.org/officeDocument/2006/relationships/hyperlink" Target="https://www.sec.gov/Archives/edgar/data/1605888/000121390025018768/ea0232636-8k_atlantic.htm" TargetMode="External"/><Relationship Id="rId51" Type="http://schemas.openxmlformats.org/officeDocument/2006/relationships/hyperlink" Target="https://www.sec.gov/Archives/edgar/data/1605888/000160588825000010/altn-20250429.htm" TargetMode="External"/><Relationship Id="rId52" Type="http://schemas.openxmlformats.org/officeDocument/2006/relationships/hyperlink" Target="https://www.sec.gov/Archives/edgar/data/1605888/000160588825000027/altn-20250602.htm" TargetMode="External"/><Relationship Id="rId53" Type="http://schemas.openxmlformats.org/officeDocument/2006/relationships/hyperlink" Target="https://www.sec.gov/Archives/edgar/data/1605888/000160588825000043/altn-20251031.htm" TargetMode="External"/><Relationship Id="rId54" Type="http://schemas.openxmlformats.org/officeDocument/2006/relationships/hyperlink" Target="https://www.sec.gov/Archives/edgar/data/1605888/000160588825000050/altn-20251107.htm" TargetMode="External"/><Relationship Id="rId55" Type="http://schemas.openxmlformats.org/officeDocument/2006/relationships/hyperlink" Target="https://www.sec.gov/Archives/edgar/data/1605888/000121390024058504/ea0208755-s1_atlant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2026-07-02T15:41:59Z</dcterms:created>
  <dcterms:modified xsi:type="dcterms:W3CDTF">2026-07-02T15:41:59Z</dcterms:modified>
</cp:coreProperties>
</file>